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485FA" w14:textId="70022D2E" w:rsidR="00334170" w:rsidRPr="003C47C5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page1"/>
      <w:r w:rsidRPr="0007405E">
        <w:rPr>
          <w:rFonts w:ascii="Arial" w:hAnsi="Arial" w:cs="Arial"/>
          <w:b/>
          <w:sz w:val="24"/>
          <w:szCs w:val="24"/>
        </w:rPr>
        <w:t>3GPP TSG-RAN WG4 Meeting #8</w:t>
      </w:r>
      <w:r w:rsidR="00603CB8">
        <w:rPr>
          <w:rFonts w:ascii="Arial" w:hAnsi="Arial" w:cs="Arial"/>
          <w:b/>
          <w:sz w:val="24"/>
          <w:szCs w:val="24"/>
        </w:rPr>
        <w:t>9</w:t>
      </w:r>
      <w:r w:rsidR="0030302A">
        <w:rPr>
          <w:rFonts w:ascii="Arial" w:hAnsi="Arial" w:cs="Arial"/>
          <w:b/>
          <w:sz w:val="24"/>
          <w:szCs w:val="24"/>
        </w:rPr>
        <w:tab/>
      </w:r>
      <w:r w:rsidR="0030302A">
        <w:rPr>
          <w:rFonts w:ascii="Arial" w:hAnsi="Arial" w:cs="Arial"/>
          <w:b/>
          <w:sz w:val="24"/>
          <w:szCs w:val="24"/>
        </w:rPr>
        <w:tab/>
      </w:r>
      <w:r w:rsidR="0030302A">
        <w:rPr>
          <w:rFonts w:ascii="Arial" w:hAnsi="Arial" w:cs="Arial"/>
          <w:b/>
          <w:sz w:val="24"/>
          <w:szCs w:val="24"/>
        </w:rPr>
        <w:tab/>
      </w:r>
      <w:r w:rsidR="0030302A">
        <w:rPr>
          <w:rFonts w:ascii="Arial" w:hAnsi="Arial" w:cs="Arial"/>
          <w:b/>
          <w:sz w:val="24"/>
          <w:szCs w:val="24"/>
        </w:rPr>
        <w:tab/>
      </w:r>
      <w:r w:rsidR="0030302A">
        <w:rPr>
          <w:rFonts w:ascii="Arial" w:hAnsi="Arial" w:cs="Arial"/>
          <w:b/>
          <w:sz w:val="24"/>
          <w:szCs w:val="24"/>
        </w:rPr>
        <w:tab/>
      </w:r>
      <w:r w:rsidR="0030302A">
        <w:rPr>
          <w:rFonts w:ascii="Arial" w:hAnsi="Arial" w:cs="Arial"/>
          <w:b/>
          <w:sz w:val="24"/>
          <w:szCs w:val="24"/>
        </w:rPr>
        <w:tab/>
      </w:r>
      <w:r w:rsidR="0030302A">
        <w:rPr>
          <w:rFonts w:ascii="Arial" w:hAnsi="Arial" w:cs="Arial"/>
          <w:b/>
          <w:sz w:val="24"/>
          <w:szCs w:val="24"/>
        </w:rPr>
        <w:tab/>
      </w:r>
      <w:r w:rsidR="0030302A">
        <w:rPr>
          <w:rFonts w:ascii="Arial" w:hAnsi="Arial" w:cs="Arial"/>
          <w:b/>
          <w:sz w:val="24"/>
          <w:szCs w:val="24"/>
        </w:rPr>
        <w:tab/>
      </w:r>
      <w:r w:rsidR="0030302A">
        <w:rPr>
          <w:rFonts w:ascii="Arial" w:hAnsi="Arial" w:cs="Arial"/>
          <w:b/>
          <w:sz w:val="24"/>
          <w:szCs w:val="24"/>
        </w:rPr>
        <w:tab/>
      </w:r>
      <w:r w:rsidR="0030302A">
        <w:rPr>
          <w:rFonts w:ascii="Arial" w:hAnsi="Arial" w:cs="Arial"/>
          <w:b/>
          <w:sz w:val="24"/>
          <w:szCs w:val="24"/>
        </w:rPr>
        <w:tab/>
      </w:r>
      <w:r w:rsidR="0030302A">
        <w:rPr>
          <w:rFonts w:ascii="Arial" w:hAnsi="Arial" w:cs="Arial"/>
          <w:b/>
          <w:sz w:val="24"/>
          <w:szCs w:val="24"/>
        </w:rPr>
        <w:tab/>
      </w:r>
      <w:r w:rsidR="0030302A">
        <w:rPr>
          <w:rFonts w:ascii="Arial" w:hAnsi="Arial" w:cs="Arial"/>
          <w:b/>
          <w:sz w:val="24"/>
          <w:szCs w:val="24"/>
        </w:rPr>
        <w:tab/>
      </w:r>
      <w:r w:rsidR="00EE0010" w:rsidRPr="003C47C5">
        <w:rPr>
          <w:rFonts w:ascii="Arial" w:hAnsi="Arial" w:cs="Arial"/>
          <w:b/>
          <w:color w:val="000000" w:themeColor="text1"/>
          <w:sz w:val="24"/>
          <w:szCs w:val="24"/>
        </w:rPr>
        <w:t>R4-1815049</w:t>
      </w:r>
    </w:p>
    <w:p w14:paraId="44D4954C" w14:textId="74BF9DED" w:rsidR="0013490F" w:rsidRPr="003C47C5" w:rsidRDefault="00603CB8" w:rsidP="0013490F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3C47C5">
        <w:rPr>
          <w:rFonts w:ascii="Arial" w:eastAsia="SimSun" w:hAnsi="Arial"/>
          <w:b/>
          <w:color w:val="000000" w:themeColor="text1"/>
          <w:sz w:val="24"/>
          <w:szCs w:val="24"/>
          <w:lang w:eastAsia="zh-CN"/>
        </w:rPr>
        <w:t>Spokane, US, 12th – 16th Nov, 2018</w:t>
      </w:r>
    </w:p>
    <w:p w14:paraId="2A705768" w14:textId="77777777" w:rsidR="00334170" w:rsidRPr="0007405E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462E60A0" w:rsidR="00214859" w:rsidRPr="0007405E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07405E">
        <w:rPr>
          <w:rFonts w:ascii="Arial" w:hAnsi="Arial"/>
          <w:b/>
          <w:sz w:val="24"/>
          <w:lang w:val="en-US"/>
        </w:rPr>
        <w:t>Agenda item:</w:t>
      </w:r>
      <w:r w:rsidRPr="0007405E">
        <w:rPr>
          <w:rFonts w:ascii="Arial" w:hAnsi="Arial"/>
          <w:sz w:val="24"/>
          <w:lang w:val="en-US"/>
        </w:rPr>
        <w:tab/>
      </w:r>
      <w:r w:rsidR="00334170" w:rsidRPr="0007405E">
        <w:rPr>
          <w:rFonts w:ascii="Arial" w:hAnsi="Arial" w:hint="eastAsia"/>
          <w:sz w:val="24"/>
          <w:lang w:val="en-US" w:eastAsia="ja-JP"/>
        </w:rPr>
        <w:t>7</w:t>
      </w:r>
    </w:p>
    <w:p w14:paraId="56BBBA72" w14:textId="77777777" w:rsidR="0081689A" w:rsidRPr="0007405E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07405E">
        <w:rPr>
          <w:rFonts w:ascii="Arial" w:hAnsi="Arial"/>
          <w:b/>
          <w:sz w:val="24"/>
          <w:lang w:val="en-US"/>
        </w:rPr>
        <w:t xml:space="preserve">Source: </w:t>
      </w:r>
      <w:r w:rsidRPr="0007405E">
        <w:rPr>
          <w:rFonts w:ascii="Arial" w:hAnsi="Arial"/>
          <w:b/>
          <w:sz w:val="24"/>
          <w:lang w:val="en-US"/>
        </w:rPr>
        <w:tab/>
      </w:r>
      <w:r w:rsidR="00642564" w:rsidRPr="0007405E">
        <w:rPr>
          <w:rFonts w:ascii="Arial" w:hAnsi="Arial"/>
          <w:b/>
          <w:sz w:val="24"/>
          <w:lang w:val="en-US"/>
        </w:rPr>
        <w:tab/>
      </w:r>
      <w:r w:rsidRPr="0007405E">
        <w:rPr>
          <w:rFonts w:ascii="Arial" w:hAnsi="Arial" w:hint="eastAsia"/>
          <w:sz w:val="24"/>
          <w:lang w:val="en-US" w:eastAsia="ja-JP"/>
        </w:rPr>
        <w:t>NTT DOCOMO, INC.</w:t>
      </w:r>
    </w:p>
    <w:p w14:paraId="7AEC78C8" w14:textId="094E3350" w:rsidR="00FA6851" w:rsidRPr="0007405E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07405E">
        <w:rPr>
          <w:rFonts w:ascii="Arial" w:hAnsi="Arial"/>
          <w:b/>
          <w:sz w:val="24"/>
          <w:lang w:val="en-US"/>
        </w:rPr>
        <w:t>Title:</w:t>
      </w:r>
      <w:r w:rsidRPr="0007405E">
        <w:rPr>
          <w:rFonts w:ascii="Arial" w:hAnsi="Arial"/>
          <w:sz w:val="24"/>
          <w:lang w:val="en-US"/>
        </w:rPr>
        <w:t xml:space="preserve"> </w:t>
      </w:r>
      <w:r w:rsidRPr="0007405E">
        <w:rPr>
          <w:rFonts w:ascii="Arial" w:hAnsi="Arial"/>
          <w:sz w:val="24"/>
          <w:lang w:val="en-US"/>
        </w:rPr>
        <w:tab/>
      </w:r>
      <w:r w:rsidR="008474E9" w:rsidRPr="008474E9">
        <w:rPr>
          <w:rFonts w:ascii="Arial" w:hAnsi="Arial"/>
          <w:sz w:val="24"/>
          <w:lang w:val="en-US" w:eastAsia="ja-JP"/>
        </w:rPr>
        <w:t>Remaining issues on RAN4 UE feature list</w:t>
      </w:r>
    </w:p>
    <w:p w14:paraId="5CE29AE6" w14:textId="7A35C94A" w:rsidR="0081689A" w:rsidRPr="0007405E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07405E">
        <w:rPr>
          <w:rFonts w:ascii="Arial" w:hAnsi="Arial"/>
          <w:b/>
          <w:sz w:val="24"/>
          <w:lang w:val="en-US"/>
        </w:rPr>
        <w:t>Document for:</w:t>
      </w:r>
      <w:r w:rsidRPr="0007405E">
        <w:rPr>
          <w:rFonts w:ascii="Arial" w:hAnsi="Arial"/>
          <w:sz w:val="24"/>
          <w:lang w:val="en-US"/>
        </w:rPr>
        <w:tab/>
      </w:r>
      <w:r w:rsidR="008474E9">
        <w:rPr>
          <w:rFonts w:ascii="Arial" w:hAnsi="Arial"/>
          <w:sz w:val="24"/>
          <w:lang w:val="en-US" w:eastAsia="ja-JP"/>
        </w:rPr>
        <w:t>Approval</w:t>
      </w:r>
    </w:p>
    <w:p w14:paraId="7C5D4856" w14:textId="77777777" w:rsidR="00906173" w:rsidRPr="0007405E" w:rsidRDefault="009C628D" w:rsidP="00CA6520">
      <w:pPr>
        <w:pStyle w:val="1"/>
      </w:pPr>
      <w:r w:rsidRPr="0007405E">
        <w:rPr>
          <w:rFonts w:hint="eastAsia"/>
          <w:lang w:eastAsia="ja-JP"/>
        </w:rPr>
        <w:t xml:space="preserve">1. </w:t>
      </w:r>
      <w:r w:rsidR="00906173" w:rsidRPr="0007405E">
        <w:t>Introduction</w:t>
      </w:r>
    </w:p>
    <w:p w14:paraId="21AD02D4" w14:textId="3174E3EC" w:rsidR="00C43723" w:rsidRPr="00B52DFD" w:rsidRDefault="008474E9" w:rsidP="00E902E8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In this contribution, we discuss some remaining issues on RAN4 related UE features described in RAN1 UE feature list [1].</w:t>
      </w:r>
      <w:r w:rsidR="007C42B9">
        <w:rPr>
          <w:color w:val="000000" w:themeColor="text1"/>
          <w:lang w:eastAsia="ja-JP"/>
        </w:rPr>
        <w:t xml:space="preserve"> Also, we updated the </w:t>
      </w:r>
      <w:r w:rsidR="005A34C2">
        <w:rPr>
          <w:color w:val="000000" w:themeColor="text1"/>
          <w:lang w:eastAsia="ja-JP"/>
        </w:rPr>
        <w:t xml:space="preserve">latest </w:t>
      </w:r>
      <w:r w:rsidR="007C42B9">
        <w:rPr>
          <w:color w:val="000000" w:themeColor="text1"/>
          <w:lang w:eastAsia="ja-JP"/>
        </w:rPr>
        <w:t>RAN4 UE feature list</w:t>
      </w:r>
      <w:r w:rsidR="005A34C2">
        <w:rPr>
          <w:color w:val="000000" w:themeColor="text1"/>
          <w:lang w:eastAsia="ja-JP"/>
        </w:rPr>
        <w:t xml:space="preserve"> [2]</w:t>
      </w:r>
      <w:r w:rsidR="007C42B9">
        <w:rPr>
          <w:color w:val="000000" w:themeColor="text1"/>
          <w:lang w:eastAsia="ja-JP"/>
        </w:rPr>
        <w:t xml:space="preserve"> based on the agreement at the last RAN4 meeting</w:t>
      </w:r>
      <w:r w:rsidR="005A34C2">
        <w:rPr>
          <w:color w:val="000000" w:themeColor="text1"/>
          <w:lang w:eastAsia="ja-JP"/>
        </w:rPr>
        <w:t>.</w:t>
      </w:r>
    </w:p>
    <w:p w14:paraId="055254F6" w14:textId="576D0B58" w:rsidR="00556E1D" w:rsidRDefault="00556E1D" w:rsidP="00556E1D">
      <w:pPr>
        <w:pStyle w:val="1"/>
        <w:rPr>
          <w:lang w:eastAsia="ja-JP"/>
        </w:rPr>
      </w:pPr>
      <w:r w:rsidRPr="0007405E">
        <w:rPr>
          <w:rFonts w:hint="eastAsia"/>
          <w:lang w:eastAsia="ja-JP"/>
        </w:rPr>
        <w:t xml:space="preserve">2. </w:t>
      </w:r>
      <w:r w:rsidR="00781288" w:rsidRPr="0007405E">
        <w:rPr>
          <w:rFonts w:hint="eastAsia"/>
          <w:lang w:eastAsia="ja-JP"/>
        </w:rPr>
        <w:t>Discussion</w:t>
      </w:r>
    </w:p>
    <w:p w14:paraId="0D590E95" w14:textId="16ABD84C" w:rsidR="00BB08F1" w:rsidRPr="00BB08F1" w:rsidRDefault="00BB08F1" w:rsidP="00BB08F1">
      <w:pPr>
        <w:pStyle w:val="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.1</w:t>
      </w:r>
      <w:r w:rsidR="00BA0975">
        <w:rPr>
          <w:lang w:eastAsia="ja-JP"/>
        </w:rPr>
        <w:t xml:space="preserve">. </w:t>
      </w:r>
      <w:r>
        <w:rPr>
          <w:lang w:eastAsia="ja-JP"/>
        </w:rPr>
        <w:t>RAN4 related UE features in RAN1 list</w:t>
      </w:r>
    </w:p>
    <w:p w14:paraId="5EC8E00A" w14:textId="219B4A29" w:rsidR="00603CB8" w:rsidRDefault="008474E9" w:rsidP="00603CB8">
      <w:pPr>
        <w:spacing w:after="120"/>
        <w:jc w:val="both"/>
        <w:rPr>
          <w:color w:val="000000" w:themeColor="text1"/>
          <w:lang w:eastAsia="ja-JP"/>
        </w:rPr>
      </w:pPr>
      <w:r w:rsidRPr="008474E9">
        <w:rPr>
          <w:color w:val="000000" w:themeColor="text1"/>
          <w:lang w:eastAsia="ja-JP"/>
        </w:rPr>
        <w:t xml:space="preserve">At the last RAN1 meeting, RAN1 </w:t>
      </w:r>
      <w:r w:rsidR="0030302A">
        <w:rPr>
          <w:color w:val="000000" w:themeColor="text1"/>
          <w:lang w:eastAsia="ja-JP"/>
        </w:rPr>
        <w:t xml:space="preserve">updated their </w:t>
      </w:r>
      <w:r w:rsidRPr="008474E9">
        <w:rPr>
          <w:color w:val="000000" w:themeColor="text1"/>
          <w:lang w:eastAsia="ja-JP"/>
        </w:rPr>
        <w:t>UE feature list</w:t>
      </w:r>
      <w:r w:rsidR="0030302A">
        <w:rPr>
          <w:color w:val="000000" w:themeColor="text1"/>
          <w:lang w:eastAsia="ja-JP"/>
        </w:rPr>
        <w:t xml:space="preserve"> [1] based on the agreed RAN4 WF [</w:t>
      </w:r>
      <w:r w:rsidR="005A34C2">
        <w:rPr>
          <w:color w:val="000000" w:themeColor="text1"/>
          <w:lang w:eastAsia="ja-JP"/>
        </w:rPr>
        <w:t>3</w:t>
      </w:r>
      <w:r w:rsidR="0030302A">
        <w:rPr>
          <w:color w:val="000000" w:themeColor="text1"/>
          <w:lang w:eastAsia="ja-JP"/>
        </w:rPr>
        <w:t>].</w:t>
      </w:r>
      <w:r w:rsidR="00907889">
        <w:rPr>
          <w:color w:val="000000" w:themeColor="text1"/>
          <w:lang w:eastAsia="ja-JP"/>
        </w:rPr>
        <w:t xml:space="preserve"> In the following, we describe the list of RAN4 related UE features.</w:t>
      </w:r>
    </w:p>
    <w:p w14:paraId="6C2A40A8" w14:textId="7932E104" w:rsidR="00907889" w:rsidRDefault="00907889" w:rsidP="00603CB8">
      <w:pPr>
        <w:spacing w:after="120"/>
        <w:jc w:val="both"/>
        <w:rPr>
          <w:color w:val="000000" w:themeColor="text1"/>
          <w:lang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2"/>
        <w:gridCol w:w="921"/>
        <w:gridCol w:w="1645"/>
        <w:gridCol w:w="694"/>
        <w:gridCol w:w="963"/>
        <w:gridCol w:w="925"/>
        <w:gridCol w:w="723"/>
        <w:gridCol w:w="765"/>
        <w:gridCol w:w="765"/>
        <w:gridCol w:w="617"/>
        <w:gridCol w:w="988"/>
        <w:gridCol w:w="705"/>
        <w:gridCol w:w="1125"/>
        <w:gridCol w:w="1588"/>
        <w:gridCol w:w="1405"/>
      </w:tblGrid>
      <w:tr w:rsidR="00DF4ECA" w:rsidRPr="00DF4ECA" w14:paraId="4069B463" w14:textId="46A10A38" w:rsidTr="002A6A1C">
        <w:trPr>
          <w:trHeight w:val="1800"/>
        </w:trPr>
        <w:tc>
          <w:tcPr>
            <w:tcW w:w="158" w:type="pct"/>
            <w:shd w:val="clear" w:color="000000" w:fill="99CCFF"/>
            <w:vAlign w:val="center"/>
            <w:hideMark/>
          </w:tcPr>
          <w:p w14:paraId="56CFB8EB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322" w:type="pct"/>
            <w:shd w:val="clear" w:color="000000" w:fill="99CCFF"/>
            <w:vAlign w:val="center"/>
            <w:hideMark/>
          </w:tcPr>
          <w:p w14:paraId="79F5EFCD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Feature group</w:t>
            </w:r>
          </w:p>
        </w:tc>
        <w:tc>
          <w:tcPr>
            <w:tcW w:w="576" w:type="pct"/>
            <w:shd w:val="clear" w:color="000000" w:fill="99CCFF"/>
            <w:vAlign w:val="center"/>
            <w:hideMark/>
          </w:tcPr>
          <w:p w14:paraId="6AFD82E8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Components</w:t>
            </w:r>
          </w:p>
        </w:tc>
        <w:tc>
          <w:tcPr>
            <w:tcW w:w="243" w:type="pct"/>
            <w:shd w:val="clear" w:color="000000" w:fill="99CCFF"/>
            <w:vAlign w:val="center"/>
            <w:hideMark/>
          </w:tcPr>
          <w:p w14:paraId="1A93ECCE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Prerequisite feature groups 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br/>
              <w:t>(listed in this sheet only)</w:t>
            </w:r>
          </w:p>
        </w:tc>
        <w:tc>
          <w:tcPr>
            <w:tcW w:w="337" w:type="pct"/>
            <w:shd w:val="clear" w:color="000000" w:fill="99CCFF"/>
            <w:vAlign w:val="center"/>
            <w:hideMark/>
          </w:tcPr>
          <w:p w14:paraId="37F04B51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Need for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gNB</w:t>
            </w:r>
            <w:proofErr w:type="spellEnd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 to know whether the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br/>
              <w:t>feature is supported by the UE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br/>
              <w:t xml:space="preserve">(what happens if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gNB</w:t>
            </w:r>
            <w:proofErr w:type="spellEnd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 does not know?)</w:t>
            </w:r>
          </w:p>
        </w:tc>
        <w:tc>
          <w:tcPr>
            <w:tcW w:w="324" w:type="pct"/>
            <w:shd w:val="clear" w:color="auto" w:fill="99CCFF"/>
            <w:vAlign w:val="center"/>
            <w:hideMark/>
          </w:tcPr>
          <w:p w14:paraId="188629E9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Consequences if the feature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br/>
              <w:t xml:space="preserve"> is not supported by the UE</w:t>
            </w:r>
          </w:p>
        </w:tc>
        <w:tc>
          <w:tcPr>
            <w:tcW w:w="253" w:type="pct"/>
            <w:shd w:val="clear" w:color="auto" w:fill="99CCFF"/>
            <w:vAlign w:val="center"/>
            <w:hideMark/>
          </w:tcPr>
          <w:p w14:paraId="6E028E0F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Type (see R2-1712078)</w:t>
            </w:r>
          </w:p>
        </w:tc>
        <w:tc>
          <w:tcPr>
            <w:tcW w:w="268" w:type="pct"/>
            <w:shd w:val="clear" w:color="auto" w:fill="99CCFF"/>
            <w:vAlign w:val="center"/>
            <w:hideMark/>
          </w:tcPr>
          <w:p w14:paraId="7310BB0D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Need of FDD/TDD differentiation</w:t>
            </w:r>
          </w:p>
        </w:tc>
        <w:tc>
          <w:tcPr>
            <w:tcW w:w="268" w:type="pct"/>
            <w:shd w:val="clear" w:color="auto" w:fill="99CCFF"/>
            <w:vAlign w:val="center"/>
          </w:tcPr>
          <w:p w14:paraId="63E4C740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Need of FR1/FR2 differentiation</w:t>
            </w:r>
          </w:p>
        </w:tc>
        <w:tc>
          <w:tcPr>
            <w:tcW w:w="216" w:type="pct"/>
            <w:shd w:val="clear" w:color="auto" w:fill="99CCFF"/>
            <w:vAlign w:val="center"/>
            <w:hideMark/>
          </w:tcPr>
          <w:p w14:paraId="5ABCC0E2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RAN5 implication</w:t>
            </w:r>
          </w:p>
        </w:tc>
        <w:tc>
          <w:tcPr>
            <w:tcW w:w="346" w:type="pct"/>
            <w:shd w:val="clear" w:color="000000" w:fill="99CCFF"/>
            <w:vAlign w:val="center"/>
            <w:hideMark/>
          </w:tcPr>
          <w:p w14:paraId="164087C1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Note</w:t>
            </w:r>
          </w:p>
        </w:tc>
        <w:tc>
          <w:tcPr>
            <w:tcW w:w="247" w:type="pct"/>
            <w:shd w:val="clear" w:color="000000" w:fill="99CCFF"/>
            <w:vAlign w:val="center"/>
            <w:hideMark/>
          </w:tcPr>
          <w:p w14:paraId="44A4AEEF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Responsible WG</w:t>
            </w:r>
          </w:p>
        </w:tc>
        <w:tc>
          <w:tcPr>
            <w:tcW w:w="394" w:type="pct"/>
            <w:shd w:val="clear" w:color="000000" w:fill="BFBFBF"/>
            <w:vAlign w:val="center"/>
            <w:hideMark/>
          </w:tcPr>
          <w:p w14:paraId="7CD7ED06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RAN WG recommendation</w:t>
            </w:r>
          </w:p>
        </w:tc>
        <w:tc>
          <w:tcPr>
            <w:tcW w:w="556" w:type="pct"/>
            <w:shd w:val="clear" w:color="000000" w:fill="FFC000"/>
            <w:vAlign w:val="center"/>
            <w:hideMark/>
          </w:tcPr>
          <w:p w14:paraId="02ACF618" w14:textId="77777777" w:rsidR="00907889" w:rsidRPr="00DF4ECA" w:rsidRDefault="00907889" w:rsidP="00466827">
            <w:pPr>
              <w:snapToGrid w:val="0"/>
              <w:jc w:val="center"/>
              <w:rPr>
                <w:rFonts w:ascii="Arial" w:eastAsia="ＭＳ Ｐゴシック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b/>
                <w:bCs/>
                <w:color w:val="000000" w:themeColor="text1"/>
                <w:sz w:val="16"/>
                <w:szCs w:val="16"/>
              </w:rPr>
              <w:t>TSG-RAN decision</w:t>
            </w:r>
          </w:p>
        </w:tc>
        <w:tc>
          <w:tcPr>
            <w:tcW w:w="492" w:type="pct"/>
            <w:shd w:val="clear" w:color="auto" w:fill="70AD47" w:themeFill="accent6"/>
            <w:vAlign w:val="center"/>
          </w:tcPr>
          <w:p w14:paraId="2B11E3A2" w14:textId="0C8A1732" w:rsidR="00907889" w:rsidRPr="00DF4ECA" w:rsidRDefault="00907889" w:rsidP="00907889">
            <w:pPr>
              <w:snapToGrid w:val="0"/>
              <w:jc w:val="both"/>
              <w:rPr>
                <w:rFonts w:ascii="Arial" w:eastAsia="ＭＳ Ｐゴシック" w:hAnsi="Arial" w:cs="Arial"/>
                <w:b/>
                <w:bCs/>
                <w:color w:val="000000" w:themeColor="text1"/>
                <w:sz w:val="16"/>
                <w:szCs w:val="16"/>
                <w:lang w:eastAsia="ja-JP"/>
              </w:rPr>
            </w:pPr>
            <w:r w:rsidRPr="00DF4ECA">
              <w:rPr>
                <w:rFonts w:ascii="Arial" w:eastAsia="ＭＳ Ｐゴシック" w:hAnsi="Arial" w:cs="Arial"/>
                <w:b/>
                <w:bCs/>
                <w:color w:val="000000" w:themeColor="text1"/>
                <w:sz w:val="16"/>
                <w:szCs w:val="16"/>
                <w:lang w:eastAsia="ja-JP"/>
              </w:rPr>
              <w:t>DCM comments</w:t>
            </w:r>
          </w:p>
        </w:tc>
      </w:tr>
      <w:tr w:rsidR="00DF4ECA" w:rsidRPr="00DF4ECA" w14:paraId="63C72428" w14:textId="685676CC" w:rsidTr="002A6A1C">
        <w:trPr>
          <w:trHeight w:val="870"/>
        </w:trPr>
        <w:tc>
          <w:tcPr>
            <w:tcW w:w="158" w:type="pct"/>
            <w:shd w:val="clear" w:color="auto" w:fill="auto"/>
          </w:tcPr>
          <w:p w14:paraId="76287043" w14:textId="1E5670EE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lastRenderedPageBreak/>
              <w:t>1-5</w:t>
            </w:r>
          </w:p>
        </w:tc>
        <w:tc>
          <w:tcPr>
            <w:tcW w:w="322" w:type="pct"/>
            <w:shd w:val="clear" w:color="auto" w:fill="auto"/>
          </w:tcPr>
          <w:p w14:paraId="0867B274" w14:textId="7537156D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CSI-RS based RRM measurement with associated SS-block</w:t>
            </w:r>
          </w:p>
        </w:tc>
        <w:tc>
          <w:tcPr>
            <w:tcW w:w="576" w:type="pct"/>
            <w:shd w:val="clear" w:color="auto" w:fill="auto"/>
          </w:tcPr>
          <w:p w14:paraId="0D35C637" w14:textId="5D3DF4ED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1) CSI-RSRP measurement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br/>
              <w:t>2) CSI-RSRQ measurement</w:t>
            </w:r>
          </w:p>
        </w:tc>
        <w:tc>
          <w:tcPr>
            <w:tcW w:w="243" w:type="pct"/>
            <w:shd w:val="clear" w:color="auto" w:fill="auto"/>
          </w:tcPr>
          <w:p w14:paraId="6301D6B0" w14:textId="2CEA0B8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1-1, CSI-RS </w:t>
            </w:r>
          </w:p>
        </w:tc>
        <w:tc>
          <w:tcPr>
            <w:tcW w:w="337" w:type="pct"/>
            <w:shd w:val="clear" w:color="auto" w:fill="auto"/>
          </w:tcPr>
          <w:p w14:paraId="58960C4E" w14:textId="29C9154F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324" w:type="pct"/>
            <w:shd w:val="clear" w:color="auto" w:fill="auto"/>
          </w:tcPr>
          <w:p w14:paraId="0F62FB88" w14:textId="22433451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Not support CSI-RSRP and CSI-RSRQ measurement</w:t>
            </w:r>
          </w:p>
        </w:tc>
        <w:tc>
          <w:tcPr>
            <w:tcW w:w="253" w:type="pct"/>
            <w:shd w:val="clear" w:color="auto" w:fill="auto"/>
          </w:tcPr>
          <w:p w14:paraId="63585929" w14:textId="073ADF3F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Type 4</w:t>
            </w:r>
          </w:p>
        </w:tc>
        <w:tc>
          <w:tcPr>
            <w:tcW w:w="268" w:type="pct"/>
            <w:shd w:val="clear" w:color="auto" w:fill="auto"/>
          </w:tcPr>
          <w:p w14:paraId="4F61620B" w14:textId="789322DD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No need</w:t>
            </w:r>
          </w:p>
        </w:tc>
        <w:tc>
          <w:tcPr>
            <w:tcW w:w="268" w:type="pct"/>
            <w:shd w:val="clear" w:color="auto" w:fill="auto"/>
          </w:tcPr>
          <w:p w14:paraId="65FB2C44" w14:textId="3FAD7438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216" w:type="pct"/>
            <w:shd w:val="clear" w:color="auto" w:fill="auto"/>
          </w:tcPr>
          <w:p w14:paraId="6FDE1899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</w:tcPr>
          <w:p w14:paraId="36629500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</w:tcPr>
          <w:p w14:paraId="7EFAFEBB" w14:textId="7C504C9A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RAN1</w:t>
            </w:r>
          </w:p>
        </w:tc>
        <w:tc>
          <w:tcPr>
            <w:tcW w:w="394" w:type="pct"/>
            <w:shd w:val="clear" w:color="000000" w:fill="BFBFBF"/>
            <w:vAlign w:val="center"/>
          </w:tcPr>
          <w:p w14:paraId="7E0B550D" w14:textId="1D026470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2F979BFE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</w:p>
          <w:p w14:paraId="6648366A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Note: This does not discourage RAN4 to complete their work</w:t>
            </w:r>
          </w:p>
          <w:p w14:paraId="13CABD26" w14:textId="7B5C63DC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FF0000"/>
                <w:sz w:val="16"/>
                <w:szCs w:val="16"/>
              </w:rPr>
              <w:t>Note: there is expectation that RAN4 will complete the corresponding RRM measurement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492" w:type="pct"/>
            <w:shd w:val="clear" w:color="auto" w:fill="E2EFD9" w:themeFill="accent6" w:themeFillTint="33"/>
          </w:tcPr>
          <w:p w14:paraId="58184BBF" w14:textId="1AC84E0D" w:rsidR="00907889" w:rsidRPr="00DF4ECA" w:rsidRDefault="00DF4ECA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sz w:val="16"/>
                <w:szCs w:val="16"/>
                <w:lang w:eastAsia="ja-JP"/>
              </w:rPr>
              <w:t>N</w:t>
            </w:r>
            <w:r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>o further action is needed in terms of UE feature list</w:t>
            </w:r>
          </w:p>
        </w:tc>
      </w:tr>
      <w:tr w:rsidR="00DF4ECA" w:rsidRPr="00DF4ECA" w14:paraId="0B65B207" w14:textId="77777777" w:rsidTr="002A6A1C">
        <w:trPr>
          <w:trHeight w:val="870"/>
        </w:trPr>
        <w:tc>
          <w:tcPr>
            <w:tcW w:w="158" w:type="pct"/>
            <w:shd w:val="clear" w:color="auto" w:fill="auto"/>
          </w:tcPr>
          <w:p w14:paraId="21E9D86B" w14:textId="226FE995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1-5a</w:t>
            </w:r>
          </w:p>
        </w:tc>
        <w:tc>
          <w:tcPr>
            <w:tcW w:w="322" w:type="pct"/>
            <w:shd w:val="clear" w:color="auto" w:fill="auto"/>
          </w:tcPr>
          <w:p w14:paraId="232046A2" w14:textId="3A60B9F1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CSI-RS based RRM measurement without associated SS-block</w:t>
            </w:r>
          </w:p>
        </w:tc>
        <w:tc>
          <w:tcPr>
            <w:tcW w:w="576" w:type="pct"/>
            <w:shd w:val="clear" w:color="auto" w:fill="auto"/>
          </w:tcPr>
          <w:p w14:paraId="2BCA30F6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1) CSI-RSRP measurement 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br/>
              <w:t>2) CSI-RSRQ measurement</w:t>
            </w:r>
          </w:p>
          <w:p w14:paraId="28426C73" w14:textId="06C5221D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3) There is SS-block in the target frequency on which the RRM measurement is performed</w:t>
            </w:r>
          </w:p>
        </w:tc>
        <w:tc>
          <w:tcPr>
            <w:tcW w:w="243" w:type="pct"/>
            <w:shd w:val="clear" w:color="auto" w:fill="auto"/>
          </w:tcPr>
          <w:p w14:paraId="17474914" w14:textId="53BA76B8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1-1, CSI-RS</w:t>
            </w:r>
          </w:p>
        </w:tc>
        <w:tc>
          <w:tcPr>
            <w:tcW w:w="337" w:type="pct"/>
            <w:shd w:val="clear" w:color="auto" w:fill="auto"/>
          </w:tcPr>
          <w:p w14:paraId="24CB3AD1" w14:textId="336955EC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324" w:type="pct"/>
            <w:shd w:val="clear" w:color="auto" w:fill="auto"/>
          </w:tcPr>
          <w:p w14:paraId="239C2065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</w:tcPr>
          <w:p w14:paraId="37938C92" w14:textId="6B1219D8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Type 4</w:t>
            </w:r>
          </w:p>
        </w:tc>
        <w:tc>
          <w:tcPr>
            <w:tcW w:w="268" w:type="pct"/>
            <w:shd w:val="clear" w:color="auto" w:fill="auto"/>
          </w:tcPr>
          <w:p w14:paraId="32849AA0" w14:textId="30766EE0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No need</w:t>
            </w:r>
          </w:p>
        </w:tc>
        <w:tc>
          <w:tcPr>
            <w:tcW w:w="268" w:type="pct"/>
            <w:shd w:val="clear" w:color="auto" w:fill="auto"/>
          </w:tcPr>
          <w:p w14:paraId="242CC0F2" w14:textId="4A886782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216" w:type="pct"/>
            <w:shd w:val="clear" w:color="auto" w:fill="auto"/>
          </w:tcPr>
          <w:p w14:paraId="63F2CF11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</w:tcPr>
          <w:p w14:paraId="74FEA021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</w:tcPr>
          <w:p w14:paraId="675213D6" w14:textId="6DF7C1C9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RAN1</w:t>
            </w:r>
          </w:p>
        </w:tc>
        <w:tc>
          <w:tcPr>
            <w:tcW w:w="394" w:type="pct"/>
            <w:shd w:val="clear" w:color="000000" w:fill="BFBFBF"/>
            <w:vAlign w:val="center"/>
          </w:tcPr>
          <w:p w14:paraId="52CFF0B4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54D23ADF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</w:p>
          <w:p w14:paraId="20296AC9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Note: This does not discourage RAN4 to complete their work</w:t>
            </w:r>
          </w:p>
          <w:p w14:paraId="0E51FBD1" w14:textId="6FF258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FF0000"/>
                <w:sz w:val="16"/>
                <w:szCs w:val="16"/>
              </w:rPr>
              <w:t xml:space="preserve">Note: there is expectation that RAN4 will complete the corresponding RRM measurement </w:t>
            </w:r>
          </w:p>
        </w:tc>
        <w:tc>
          <w:tcPr>
            <w:tcW w:w="492" w:type="pct"/>
            <w:shd w:val="clear" w:color="auto" w:fill="E2EFD9" w:themeFill="accent6" w:themeFillTint="33"/>
          </w:tcPr>
          <w:p w14:paraId="7A362CE8" w14:textId="51DECE50" w:rsidR="00907889" w:rsidRPr="00DF4ECA" w:rsidRDefault="00DF4ECA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sz w:val="16"/>
                <w:szCs w:val="16"/>
                <w:lang w:eastAsia="ja-JP"/>
              </w:rPr>
              <w:t>N</w:t>
            </w:r>
            <w:r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>o further action is needed in terms of UE feature list</w:t>
            </w:r>
          </w:p>
        </w:tc>
      </w:tr>
      <w:tr w:rsidR="00DF4ECA" w:rsidRPr="00DF4ECA" w14:paraId="6695508A" w14:textId="77777777" w:rsidTr="002A6A1C">
        <w:trPr>
          <w:trHeight w:val="870"/>
        </w:trPr>
        <w:tc>
          <w:tcPr>
            <w:tcW w:w="158" w:type="pct"/>
            <w:shd w:val="clear" w:color="auto" w:fill="auto"/>
          </w:tcPr>
          <w:p w14:paraId="7A72853D" w14:textId="640E0DBB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1-11</w:t>
            </w:r>
          </w:p>
        </w:tc>
        <w:tc>
          <w:tcPr>
            <w:tcW w:w="322" w:type="pct"/>
            <w:shd w:val="clear" w:color="auto" w:fill="auto"/>
          </w:tcPr>
          <w:p w14:paraId="166E68A1" w14:textId="0A31BC71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Support of CSI-RS RRM measurement for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SCell</w:t>
            </w:r>
            <w:proofErr w:type="spellEnd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 without SS/PBCH block</w:t>
            </w:r>
          </w:p>
        </w:tc>
        <w:tc>
          <w:tcPr>
            <w:tcW w:w="576" w:type="pct"/>
            <w:shd w:val="clear" w:color="auto" w:fill="auto"/>
          </w:tcPr>
          <w:p w14:paraId="24B09885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3" w:type="pct"/>
            <w:shd w:val="clear" w:color="auto" w:fill="auto"/>
          </w:tcPr>
          <w:p w14:paraId="25D7EA5A" w14:textId="3116F80B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1-10</w:t>
            </w:r>
          </w:p>
        </w:tc>
        <w:tc>
          <w:tcPr>
            <w:tcW w:w="337" w:type="pct"/>
            <w:shd w:val="clear" w:color="auto" w:fill="auto"/>
          </w:tcPr>
          <w:p w14:paraId="674655D6" w14:textId="5936924A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324" w:type="pct"/>
            <w:shd w:val="clear" w:color="auto" w:fill="auto"/>
          </w:tcPr>
          <w:p w14:paraId="1057D61A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</w:tcPr>
          <w:p w14:paraId="14BD5161" w14:textId="1D9707FD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Type 3</w:t>
            </w:r>
          </w:p>
        </w:tc>
        <w:tc>
          <w:tcPr>
            <w:tcW w:w="268" w:type="pct"/>
            <w:shd w:val="clear" w:color="auto" w:fill="auto"/>
          </w:tcPr>
          <w:p w14:paraId="3DE7B6FA" w14:textId="461A25FD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N. A.</w:t>
            </w:r>
          </w:p>
        </w:tc>
        <w:tc>
          <w:tcPr>
            <w:tcW w:w="268" w:type="pct"/>
            <w:shd w:val="clear" w:color="auto" w:fill="auto"/>
          </w:tcPr>
          <w:p w14:paraId="7D636C42" w14:textId="743033C6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16" w:type="pct"/>
            <w:shd w:val="clear" w:color="auto" w:fill="auto"/>
          </w:tcPr>
          <w:p w14:paraId="6A3D1F34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</w:tcPr>
          <w:p w14:paraId="45E2F837" w14:textId="783F1D1A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FF0000"/>
                <w:sz w:val="16"/>
                <w:szCs w:val="16"/>
              </w:rPr>
              <w:t>RAN4 to check</w:t>
            </w:r>
          </w:p>
        </w:tc>
        <w:tc>
          <w:tcPr>
            <w:tcW w:w="247" w:type="pct"/>
            <w:shd w:val="clear" w:color="auto" w:fill="auto"/>
          </w:tcPr>
          <w:p w14:paraId="2F592628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4" w:type="pct"/>
            <w:shd w:val="clear" w:color="000000" w:fill="BFBFBF"/>
            <w:vAlign w:val="center"/>
          </w:tcPr>
          <w:p w14:paraId="0A198DA6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115BC6DD" w14:textId="284C571F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Optional with capability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</w:p>
        </w:tc>
        <w:tc>
          <w:tcPr>
            <w:tcW w:w="492" w:type="pct"/>
            <w:shd w:val="clear" w:color="auto" w:fill="E2EFD9" w:themeFill="accent6" w:themeFillTint="33"/>
          </w:tcPr>
          <w:p w14:paraId="08E8D08C" w14:textId="4BEF8933" w:rsidR="00907889" w:rsidRPr="00DF4ECA" w:rsidRDefault="00DF4ECA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sz w:val="16"/>
                <w:szCs w:val="16"/>
                <w:lang w:eastAsia="ja-JP"/>
              </w:rPr>
              <w:t>N</w:t>
            </w:r>
            <w:r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 xml:space="preserve">o further action is needed in terms of UE feature list </w:t>
            </w:r>
          </w:p>
        </w:tc>
      </w:tr>
      <w:tr w:rsidR="00DF4ECA" w:rsidRPr="00DF4ECA" w14:paraId="560CC135" w14:textId="77777777" w:rsidTr="002A6A1C">
        <w:trPr>
          <w:trHeight w:val="870"/>
        </w:trPr>
        <w:tc>
          <w:tcPr>
            <w:tcW w:w="158" w:type="pct"/>
            <w:shd w:val="clear" w:color="auto" w:fill="auto"/>
            <w:vAlign w:val="center"/>
          </w:tcPr>
          <w:p w14:paraId="50A676CD" w14:textId="4A5375A3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2-20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D286945" w14:textId="7ED4D6A9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Beam correspondence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63C198A" w14:textId="77777777" w:rsidR="00907889" w:rsidRPr="00DF4ECA" w:rsidRDefault="00907889" w:rsidP="00907889">
            <w:pPr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1. Support Beam correspondence</w:t>
            </w:r>
          </w:p>
          <w:p w14:paraId="0AAC9EA0" w14:textId="77777777" w:rsidR="00907889" w:rsidRPr="00DF4ECA" w:rsidRDefault="00907889" w:rsidP="00907889">
            <w:pPr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2. When CA is configured, whether the same beam correspondence relationship for beam management is supported across CCs. </w:t>
            </w:r>
          </w:p>
          <w:p w14:paraId="325B4AE4" w14:textId="1B4E0B49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 xml:space="preserve">Note: RAN4 to check the feasibility </w:t>
            </w:r>
            <w:r w:rsidRPr="00DF4EC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lastRenderedPageBreak/>
              <w:t>for component-2, e.g. intra-band or inter-band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354E9F6" w14:textId="1C13BAFA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 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BA07A1B" w14:textId="3BF8B8ED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6791B79" w14:textId="4FDB271A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Beam correspondence is not supported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1FDD9B" w14:textId="2577E378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Type 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4854579" w14:textId="035E2FF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No need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7C6F558" w14:textId="4F62C124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Malgun Gothic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6BF0843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39ACBD45" w14:textId="1A985494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Note: Beam correspondence means each Tx port can be beamformed in a desirable direction but does not imply </w:t>
            </w: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setting phase across ports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32E5CC1F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4" w:type="pct"/>
            <w:shd w:val="clear" w:color="000000" w:fill="BFBFBF"/>
            <w:vAlign w:val="center"/>
          </w:tcPr>
          <w:p w14:paraId="60F164B7" w14:textId="77777777" w:rsidR="00907889" w:rsidRPr="00DF4ECA" w:rsidRDefault="00907889" w:rsidP="00907889">
            <w:pPr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  <w:p w14:paraId="27B1AE1A" w14:textId="77777777" w:rsidR="00907889" w:rsidRPr="00DF4ECA" w:rsidRDefault="00907889" w:rsidP="00907889">
            <w:pPr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[Mandatory/optional] with capability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</w:p>
          <w:p w14:paraId="6670EB51" w14:textId="77777777" w:rsidR="00907889" w:rsidRPr="00DF4ECA" w:rsidRDefault="00907889" w:rsidP="00907889">
            <w:pPr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  <w:p w14:paraId="15007465" w14:textId="77777777" w:rsidR="00907889" w:rsidRPr="00DF4ECA" w:rsidRDefault="00907889" w:rsidP="00907889">
            <w:pPr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Component-2, candidate </w:t>
            </w: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value: {Yes, No}</w:t>
            </w:r>
          </w:p>
          <w:p w14:paraId="34D482C0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</w:tcPr>
          <w:p w14:paraId="57A8D026" w14:textId="4D7E04BB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lastRenderedPageBreak/>
              <w:t xml:space="preserve">[Mandatory/optional] with capability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</w:p>
        </w:tc>
        <w:tc>
          <w:tcPr>
            <w:tcW w:w="492" w:type="pct"/>
            <w:shd w:val="clear" w:color="auto" w:fill="E2EFD9" w:themeFill="accent6" w:themeFillTint="33"/>
          </w:tcPr>
          <w:p w14:paraId="122FCE78" w14:textId="77777777" w:rsidR="00907889" w:rsidRPr="00DF4ECA" w:rsidRDefault="002A6A1C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>The UE RF requirement for component 1 is under discussion in UE RF session.</w:t>
            </w:r>
          </w:p>
          <w:p w14:paraId="4B9689A1" w14:textId="77777777" w:rsidR="002A6A1C" w:rsidRPr="00DF4ECA" w:rsidRDefault="002A6A1C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024617D4" w14:textId="502C9DEF" w:rsidR="002A6A1C" w:rsidRPr="00DF4ECA" w:rsidRDefault="002A6A1C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 xml:space="preserve">The component 2 was newly added at the last meeting, so RAN4 needs to 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lastRenderedPageBreak/>
              <w:t>address it</w:t>
            </w:r>
            <w:r w:rsidR="00594703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 xml:space="preserve"> as indicated in [4]</w:t>
            </w:r>
          </w:p>
        </w:tc>
      </w:tr>
      <w:tr w:rsidR="00DF4ECA" w:rsidRPr="00DF4ECA" w14:paraId="2CDCE138" w14:textId="77777777" w:rsidTr="002A6A1C">
        <w:trPr>
          <w:trHeight w:val="870"/>
        </w:trPr>
        <w:tc>
          <w:tcPr>
            <w:tcW w:w="158" w:type="pct"/>
            <w:shd w:val="clear" w:color="auto" w:fill="auto"/>
            <w:vAlign w:val="center"/>
          </w:tcPr>
          <w:p w14:paraId="6BB33590" w14:textId="5AF1D060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2-55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1AC149" w14:textId="09D3E0E0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SRS Tx switch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066975E" w14:textId="77777777" w:rsidR="00907889" w:rsidRPr="00DF4ECA" w:rsidRDefault="00907889" w:rsidP="00907889">
            <w:pPr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1. Support SRS Tx port switch, </w:t>
            </w: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br/>
              <w:t>2. Report whether the uplink TX switching impact to downlink receiving in a band,</w:t>
            </w:r>
          </w:p>
          <w:p w14:paraId="7E75DD9D" w14:textId="1AC9A826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3. Report whether the UL Tx is switched together with UL Tx in another band 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AC3D6E9" w14:textId="454479B8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2-53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6185A53" w14:textId="6EFE5F5C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F4DE60A" w14:textId="2F9D2C42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SRS Tx Switch is not supported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A7ED6D7" w14:textId="3BB79FBE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Type 3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F04BB56" w14:textId="0E78059B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393CC26" w14:textId="2D7BCD06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Malgun Gothic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80BBBF2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1751E20" w14:textId="77777777" w:rsidR="00907889" w:rsidRPr="00DF4ECA" w:rsidRDefault="00907889" w:rsidP="00907889">
            <w:pPr>
              <w:snapToGrid w:val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Component-2 is agreed with conditioned to RAN4’s </w:t>
            </w:r>
            <w:proofErr w:type="gramStart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decision.—</w:t>
            </w:r>
            <w:proofErr w:type="gramEnd"/>
          </w:p>
          <w:p w14:paraId="051154EC" w14:textId="77777777" w:rsidR="00907889" w:rsidRPr="00DF4ECA" w:rsidRDefault="00907889" w:rsidP="00907889">
            <w:pPr>
              <w:snapToGrid w:val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  <w:p w14:paraId="04F3840E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Component-2 is per band pair per band combination</w:t>
            </w:r>
          </w:p>
          <w:p w14:paraId="0D1DD368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  <w:p w14:paraId="4C43E777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Note that Component-3 is per band pair per band combination</w:t>
            </w:r>
          </w:p>
          <w:p w14:paraId="6413AED3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  <w:p w14:paraId="25363391" w14:textId="6226B263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Note that the band pair in Component-2 and Component-3 can be an LTE band and an NR band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2B6516CC" w14:textId="019662B9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RAN1/4</w:t>
            </w:r>
          </w:p>
        </w:tc>
        <w:tc>
          <w:tcPr>
            <w:tcW w:w="394" w:type="pct"/>
            <w:shd w:val="clear" w:color="000000" w:fill="BFBFBF"/>
            <w:vAlign w:val="center"/>
          </w:tcPr>
          <w:p w14:paraId="0156161F" w14:textId="77777777" w:rsidR="00907889" w:rsidRPr="00DF4ECA" w:rsidRDefault="00907889" w:rsidP="00907889">
            <w:pPr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  <w:t xml:space="preserve">Mandatory with capability </w:t>
            </w:r>
            <w:proofErr w:type="spellStart"/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  <w:t>signaling</w:t>
            </w:r>
            <w:proofErr w:type="spellEnd"/>
          </w:p>
          <w:p w14:paraId="5E9B5E9B" w14:textId="77777777" w:rsidR="00907889" w:rsidRPr="00DF4ECA" w:rsidRDefault="00907889" w:rsidP="00907889">
            <w:pPr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  <w:p w14:paraId="09894041" w14:textId="77777777" w:rsidR="00907889" w:rsidRPr="00DF4ECA" w:rsidRDefault="00907889" w:rsidP="00907889">
            <w:pPr>
              <w:snapToGrid w:val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Component-1 is a list of </w:t>
            </w:r>
            <w:proofErr w:type="spellStart"/>
            <w:proofErr w:type="gramStart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TRx</w:t>
            </w:r>
            <w:proofErr w:type="spellEnd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 pairs</w:t>
            </w:r>
            <w:proofErr w:type="gramEnd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candidates are {“Not supported”, “1T2R”, “1T4R”, “2T4R”, “1T4R/2T4R”, “1T=1R”, “2T=2R”, “4T=4R”}</w:t>
            </w:r>
          </w:p>
          <w:p w14:paraId="7172C3F8" w14:textId="77777777" w:rsidR="00907889" w:rsidRPr="00DF4ECA" w:rsidRDefault="00907889" w:rsidP="00907889">
            <w:pPr>
              <w:snapToGrid w:val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Component-2: Candidate value </w:t>
            </w:r>
            <w:proofErr w:type="gramStart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set:,</w:t>
            </w:r>
            <w:proofErr w:type="gramEnd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{yes, no},</w:t>
            </w:r>
          </w:p>
          <w:p w14:paraId="5AD4F070" w14:textId="77777777" w:rsidR="00907889" w:rsidRPr="00DF4ECA" w:rsidRDefault="00907889" w:rsidP="00907889">
            <w:pPr>
              <w:snapToGrid w:val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Note: “R” refers to a subset/set of receive antennas for PDSCH; “T” refers to the SRS antennas used for DL CSI acquisition</w:t>
            </w:r>
          </w:p>
          <w:p w14:paraId="3618CF88" w14:textId="77777777" w:rsidR="00907889" w:rsidRPr="00DF4ECA" w:rsidRDefault="00907889" w:rsidP="00907889">
            <w:pPr>
              <w:snapToGrid w:val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  <w:p w14:paraId="602850C5" w14:textId="70DE5BE3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Component-3: Candidate value </w:t>
            </w:r>
            <w:proofErr w:type="gramStart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set:,</w:t>
            </w:r>
            <w:proofErr w:type="gramEnd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{yes, no},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D77F83F" w14:textId="77777777" w:rsidR="00907889" w:rsidRPr="00DF4ECA" w:rsidRDefault="00907889" w:rsidP="0090788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[Mandatory/Optional] with capability </w:t>
            </w:r>
            <w:proofErr w:type="spellStart"/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</w:p>
          <w:p w14:paraId="1E7B4834" w14:textId="77777777" w:rsidR="00907889" w:rsidRPr="00DF4ECA" w:rsidRDefault="00907889" w:rsidP="00907889">
            <w:pPr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Component-1 is a list of </w:t>
            </w:r>
            <w:proofErr w:type="spellStart"/>
            <w:proofErr w:type="gramStart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TRx</w:t>
            </w:r>
            <w:proofErr w:type="spellEnd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 pairs</w:t>
            </w:r>
            <w:proofErr w:type="gramEnd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candidates are {“1T2R”, “1T4R”, “2T4R”, “1T4R/2T4R”, “T=R”}</w:t>
            </w:r>
          </w:p>
          <w:p w14:paraId="7A8DB905" w14:textId="77777777" w:rsidR="00907889" w:rsidRPr="00DF4ECA" w:rsidRDefault="00907889" w:rsidP="00907889">
            <w:pPr>
              <w:snapToGrid w:val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Component-2: Candidate value </w:t>
            </w:r>
            <w:proofErr w:type="gramStart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set:,</w:t>
            </w:r>
            <w:proofErr w:type="gramEnd"/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{yes, no},</w:t>
            </w:r>
          </w:p>
          <w:p w14:paraId="05AF8C68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E2EFD9" w:themeFill="accent6" w:themeFillTint="33"/>
          </w:tcPr>
          <w:p w14:paraId="3AAA2868" w14:textId="00C8642E" w:rsidR="00907889" w:rsidRPr="00DF4ECA" w:rsidRDefault="002A6A1C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>No further action as agreed in [</w:t>
            </w:r>
            <w:r w:rsidR="005A34C2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>3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>]</w:t>
            </w:r>
          </w:p>
        </w:tc>
      </w:tr>
      <w:tr w:rsidR="00DF4ECA" w:rsidRPr="00DF4ECA" w14:paraId="17835DC1" w14:textId="77777777" w:rsidTr="002A6A1C">
        <w:trPr>
          <w:trHeight w:val="870"/>
        </w:trPr>
        <w:tc>
          <w:tcPr>
            <w:tcW w:w="158" w:type="pct"/>
            <w:shd w:val="clear" w:color="auto" w:fill="auto"/>
            <w:vAlign w:val="center"/>
          </w:tcPr>
          <w:p w14:paraId="416664BD" w14:textId="29FFF59F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2-56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0338287" w14:textId="5B7E918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SRS carrier switch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3231CAF" w14:textId="21A1CDCC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1. Report inter-cell switching time capability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15101C6D" w14:textId="5760D836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2-53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61F3394" w14:textId="395365EF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60A6E2A" w14:textId="4F7A6541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SRS carrier switch is not supported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930F9FB" w14:textId="258B49E1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Type 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6F2D8EA" w14:textId="6B9DF95A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No need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3D7874D5" w14:textId="2673EFE0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Malgun Gothic" w:hAnsi="Arial" w:cs="Arial"/>
                <w:color w:val="000000" w:themeColor="text1"/>
                <w:sz w:val="16"/>
                <w:szCs w:val="16"/>
              </w:rPr>
              <w:t xml:space="preserve">N.A. 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5126D177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93EA403" w14:textId="48C639B8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RAN4 reply LS, R1-1805817, includes candidate value sets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5326E280" w14:textId="77A11D69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RAN1/4</w:t>
            </w:r>
          </w:p>
        </w:tc>
        <w:tc>
          <w:tcPr>
            <w:tcW w:w="394" w:type="pct"/>
            <w:shd w:val="clear" w:color="000000" w:fill="BFBFBF"/>
            <w:vAlign w:val="center"/>
          </w:tcPr>
          <w:p w14:paraId="7AF22F9D" w14:textId="77777777" w:rsidR="00907889" w:rsidRPr="00DF4ECA" w:rsidRDefault="00907889" w:rsidP="00907889">
            <w:pPr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DF4ECA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candidate values set is up to RAN4</w:t>
            </w:r>
          </w:p>
          <w:p w14:paraId="15CC396B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56C38D72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E2EFD9" w:themeFill="accent6" w:themeFillTint="33"/>
          </w:tcPr>
          <w:p w14:paraId="27162482" w14:textId="05C1758B" w:rsidR="00907889" w:rsidRPr="00DF4ECA" w:rsidRDefault="002A6A1C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>No further action as agreed in [</w:t>
            </w:r>
            <w:r w:rsidR="005A34C2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>3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>]</w:t>
            </w:r>
            <w:r w:rsid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>. RAN4 already sent LS to RAN1</w:t>
            </w:r>
          </w:p>
        </w:tc>
      </w:tr>
      <w:tr w:rsidR="00DF4ECA" w:rsidRPr="00DF4ECA" w14:paraId="042A573A" w14:textId="77777777" w:rsidTr="002A6A1C">
        <w:trPr>
          <w:trHeight w:val="870"/>
        </w:trPr>
        <w:tc>
          <w:tcPr>
            <w:tcW w:w="158" w:type="pct"/>
            <w:shd w:val="clear" w:color="auto" w:fill="auto"/>
            <w:vAlign w:val="center"/>
          </w:tcPr>
          <w:p w14:paraId="2E2E48EB" w14:textId="5B6765A3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4-1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0B01D69" w14:textId="28B30E4F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Basic UL control channel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838BC58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1) PUCCH format 0 over 1 OFDM symbols once per slot </w:t>
            </w:r>
          </w:p>
          <w:p w14:paraId="339E7F65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2) PUCCH format 0 over 2 OFDM symbols once per slot with frequency hopping as “enabled”</w:t>
            </w:r>
          </w:p>
          <w:p w14:paraId="628A103E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3) PUCCH format 1 over 4 – 14 OFDM symbols once per slot with intra-slot frequency hopping as “enabled”</w:t>
            </w:r>
          </w:p>
          <w:p w14:paraId="659E1075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5) One SR configuration per PUCCH group</w:t>
            </w:r>
          </w:p>
          <w:p w14:paraId="7BEA54F5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6) HARQ-ACK transmission once per slot with its resource/timing determined by using the DCI</w:t>
            </w:r>
          </w:p>
          <w:p w14:paraId="67CA2FE4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7)</w:t>
            </w:r>
          </w:p>
          <w:p w14:paraId="529C2574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SR/HARQ multiplexing once per slot using a PUCCH (or piggybacked on a PUSCH) when SR/HARQ-ACK are supposed to be sent by overlapping PUCCH resources with the same 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lastRenderedPageBreak/>
              <w:t>starting symbols in a slot</w:t>
            </w:r>
          </w:p>
          <w:p w14:paraId="4B55B4FF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8) HARQ-ACK piggyback on PUSCH</w:t>
            </w:r>
          </w:p>
          <w:p w14:paraId="320D7D05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9) Semi-static beta-offset configuration for HARQ-ACK</w:t>
            </w:r>
          </w:p>
          <w:p w14:paraId="4A81EF40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10) One group of overlapping channels per slot per cell group for control multiplexing</w:t>
            </w:r>
          </w:p>
          <w:p w14:paraId="3F652E45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3" w:type="pct"/>
            <w:shd w:val="clear" w:color="auto" w:fill="auto"/>
          </w:tcPr>
          <w:p w14:paraId="27ACE0D7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2E3A4E6E" w14:textId="75C43A32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DDF9FE4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7059DB5" w14:textId="03F9891A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D800538" w14:textId="170D6484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354EE5E" w14:textId="77D5ED06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C494863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526AFFAB" w14:textId="64F2ED8C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hAnsi="Arial" w:cs="Arial"/>
                <w:color w:val="FF0000"/>
                <w:sz w:val="16"/>
                <w:szCs w:val="16"/>
              </w:rPr>
              <w:t>RAN4 to check feasibility of frequency hopping for PUCCH formats for FR2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6DDF1DB5" w14:textId="77777777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4" w:type="pct"/>
            <w:shd w:val="clear" w:color="000000" w:fill="BFBFBF"/>
            <w:vAlign w:val="center"/>
          </w:tcPr>
          <w:p w14:paraId="238399BF" w14:textId="56900320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Mandatory without capability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</w:p>
        </w:tc>
        <w:tc>
          <w:tcPr>
            <w:tcW w:w="556" w:type="pct"/>
            <w:shd w:val="clear" w:color="auto" w:fill="auto"/>
          </w:tcPr>
          <w:p w14:paraId="0AAE0AEF" w14:textId="6DD4D8B6" w:rsidR="00907889" w:rsidRPr="00DF4ECA" w:rsidRDefault="00907889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Mandatory without capability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</w:p>
        </w:tc>
        <w:tc>
          <w:tcPr>
            <w:tcW w:w="492" w:type="pct"/>
            <w:shd w:val="clear" w:color="auto" w:fill="E2EFD9" w:themeFill="accent6" w:themeFillTint="33"/>
          </w:tcPr>
          <w:p w14:paraId="51E61E6F" w14:textId="0B1F4861" w:rsidR="00907889" w:rsidRPr="00DF4ECA" w:rsidRDefault="002A6A1C" w:rsidP="00907889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>RAN4 needs to check feasibility of frequency hopping for PUCCH formats for FR2.</w:t>
            </w:r>
            <w:r w:rsid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>“</w:t>
            </w:r>
            <w:r w:rsid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>F</w:t>
            </w: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easibility” </w:t>
            </w:r>
            <w:r w:rsid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here </w:t>
            </w: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means whether PUCCH demodulation performance can be kept or not when </w:t>
            </w:r>
            <w:r w:rsid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120kHz SCS is assumed and </w:t>
            </w: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>RB hopping is applied</w:t>
            </w:r>
            <w:r w:rsid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 our understanding. </w:t>
            </w:r>
          </w:p>
        </w:tc>
      </w:tr>
      <w:tr w:rsidR="00DF4ECA" w:rsidRPr="00DF4ECA" w14:paraId="0C5F8FC7" w14:textId="77777777" w:rsidTr="00447D22">
        <w:trPr>
          <w:trHeight w:val="870"/>
        </w:trPr>
        <w:tc>
          <w:tcPr>
            <w:tcW w:w="158" w:type="pct"/>
            <w:shd w:val="clear" w:color="auto" w:fill="auto"/>
            <w:vAlign w:val="center"/>
          </w:tcPr>
          <w:p w14:paraId="0B1E8C5B" w14:textId="49D85329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5-1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DFB30BD" w14:textId="0AFB2CA1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Basic scheduling/HARQ operation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0EBE312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1) Frequency-domain resource allocation</w:t>
            </w:r>
          </w:p>
          <w:p w14:paraId="5473076C" w14:textId="77777777" w:rsidR="00DF4ECA" w:rsidRPr="00DF4ECA" w:rsidRDefault="00DF4ECA" w:rsidP="00DF4ECA">
            <w:pPr>
              <w:snapToGrid w:val="0"/>
              <w:ind w:firstLineChars="50" w:firstLine="8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- RA Type 0 only and Type 1 only for PDSCH without interleaving</w:t>
            </w:r>
          </w:p>
          <w:p w14:paraId="5BF0AAED" w14:textId="77777777" w:rsidR="00DF4ECA" w:rsidRPr="00DF4ECA" w:rsidRDefault="00DF4ECA" w:rsidP="00DF4ECA">
            <w:pPr>
              <w:snapToGrid w:val="0"/>
              <w:ind w:firstLineChars="50" w:firstLine="8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- RA Type 1 for PUSCH without interleaving</w:t>
            </w:r>
          </w:p>
          <w:p w14:paraId="3ADA2721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2) Time-domain resource allocation</w:t>
            </w:r>
          </w:p>
          <w:p w14:paraId="5E1BFF71" w14:textId="77777777" w:rsidR="00DF4ECA" w:rsidRPr="00DF4ECA" w:rsidRDefault="00DF4ECA" w:rsidP="00DF4ECA">
            <w:pPr>
              <w:snapToGrid w:val="0"/>
              <w:ind w:firstLineChars="50" w:firstLine="8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- 1-14 OFDM symbols for PUSCH once per slot </w:t>
            </w:r>
          </w:p>
          <w:p w14:paraId="732385D0" w14:textId="77777777" w:rsidR="00DF4ECA" w:rsidRPr="00DF4ECA" w:rsidRDefault="00DF4ECA" w:rsidP="00DF4ECA">
            <w:pPr>
              <w:snapToGrid w:val="0"/>
              <w:ind w:firstLineChars="50" w:firstLine="8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- Starting symbol, and duration are determined by using the DCI</w:t>
            </w:r>
          </w:p>
          <w:p w14:paraId="34D16EC1" w14:textId="77777777" w:rsidR="00DF4ECA" w:rsidRPr="00DF4ECA" w:rsidRDefault="00DF4ECA" w:rsidP="00DF4ECA">
            <w:pPr>
              <w:snapToGrid w:val="0"/>
              <w:ind w:firstLineChars="50" w:firstLine="8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- PDSCH mapping type A with 7-14 OFDM symbols</w:t>
            </w:r>
          </w:p>
          <w:p w14:paraId="6192B50F" w14:textId="77777777" w:rsidR="00DF4ECA" w:rsidRPr="00DF4ECA" w:rsidRDefault="00DF4ECA" w:rsidP="00DF4ECA">
            <w:pPr>
              <w:snapToGrid w:val="0"/>
              <w:ind w:firstLineChars="50" w:firstLine="8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- PUSCH mapping type A and type B</w:t>
            </w:r>
          </w:p>
          <w:p w14:paraId="5438DD36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lastRenderedPageBreak/>
              <w:t xml:space="preserve">- For type 1 without dedicated RRC configuration and for type 0, 0A, and 2, PDSCH mapping type A with </w:t>
            </w: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>{4-14} OFDM symbols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 and type B with </w:t>
            </w: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>{2, 4, 7} OFDM symbols</w:t>
            </w:r>
          </w:p>
          <w:p w14:paraId="248B3583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3) TBS determination</w:t>
            </w:r>
          </w:p>
          <w:p w14:paraId="0B90B4B7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4) Nominal UE processing time for N1 and N2 (Capability #1)</w:t>
            </w:r>
          </w:p>
          <w:p w14:paraId="497186F4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5) HARQ process operation with configurable number of DL HARQ processes of up to 16</w:t>
            </w:r>
          </w:p>
          <w:p w14:paraId="23531A81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6) </w:t>
            </w:r>
            <w:r w:rsidRPr="00DF4ECA"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  <w:t>Cell specific RRC configured UL/DL assignment for TDD</w:t>
            </w:r>
          </w:p>
          <w:p w14:paraId="462C94DD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  <w:t>7) Dynamic UL/DL determination based on L1 scheduling DCI with/without cell specific RRC configured UL/DL assignment</w:t>
            </w:r>
          </w:p>
          <w:p w14:paraId="3757BF7F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8) Intra-slot frequency-hopping for PUSCH scheduled by Type 1 before RRC connection </w:t>
            </w:r>
          </w:p>
          <w:p w14:paraId="3C5A437A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9) In TDD support at most one switch point per slot for actual DL/UL transmission(s)</w:t>
            </w:r>
          </w:p>
          <w:p w14:paraId="6DDB7F14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lastRenderedPageBreak/>
              <w:t>10) DL scheduling slot offset K0=0</w:t>
            </w:r>
          </w:p>
          <w:p w14:paraId="18A7015A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11) DL scheduling slot offset K0=1 for type 1 without dedicated RRC configuration and for type 0, 0A, and 2</w:t>
            </w:r>
          </w:p>
          <w:p w14:paraId="59EBA080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12) UL scheduling slot offset K2&lt;=12</w:t>
            </w:r>
          </w:p>
          <w:p w14:paraId="3F79414A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  <w:p w14:paraId="1889868C" w14:textId="29CA983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For type 1 without dedicated RRC configuration and for type 0, 0A, and 2, interleaving for VRB-to-PRB mapping for PDSCH</w:t>
            </w:r>
          </w:p>
        </w:tc>
        <w:tc>
          <w:tcPr>
            <w:tcW w:w="243" w:type="pct"/>
            <w:shd w:val="clear" w:color="auto" w:fill="auto"/>
          </w:tcPr>
          <w:p w14:paraId="6EFB7210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F53BB69" w14:textId="5C3E31C6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A497EB1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08E1415" w14:textId="590850D2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5A543EB" w14:textId="2F11649A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02B637D" w14:textId="494D3964" w:rsidR="00DF4ECA" w:rsidRPr="00DF4ECA" w:rsidRDefault="00DF4ECA" w:rsidP="00DF4ECA">
            <w:pPr>
              <w:snapToGrid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B949970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329F9C2D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Note: If UE is configured with more than 8 HARQ processes, </w:t>
            </w:r>
            <w:r w:rsidRPr="00B81124">
              <w:rPr>
                <w:rFonts w:ascii="Arial" w:eastAsia="ＭＳ Ｐゴシック" w:hAnsi="Arial" w:cs="Arial"/>
                <w:color w:val="FF0000"/>
                <w:sz w:val="16"/>
                <w:szCs w:val="16"/>
              </w:rPr>
              <w:t>RAN4 continue to discuss the impact of 16 HARQ processes</w:t>
            </w:r>
          </w:p>
          <w:p w14:paraId="7ECF2E28" w14:textId="77777777" w:rsidR="00DF4ECA" w:rsidRPr="00DF4ECA" w:rsidRDefault="00DF4ECA" w:rsidP="00DF4ECA">
            <w:pPr>
              <w:snapToGrid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6D2AB7E1" w14:textId="303744F0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RAN1</w:t>
            </w:r>
          </w:p>
        </w:tc>
        <w:tc>
          <w:tcPr>
            <w:tcW w:w="394" w:type="pct"/>
            <w:shd w:val="clear" w:color="000000" w:fill="BFBFBF"/>
            <w:vAlign w:val="center"/>
          </w:tcPr>
          <w:p w14:paraId="1ADD1C9D" w14:textId="535C75D1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Mandatory without capability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</w:p>
        </w:tc>
        <w:tc>
          <w:tcPr>
            <w:tcW w:w="556" w:type="pct"/>
            <w:shd w:val="clear" w:color="auto" w:fill="auto"/>
            <w:vAlign w:val="center"/>
          </w:tcPr>
          <w:p w14:paraId="2F9F7FD7" w14:textId="1D20A978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Mandatory without capability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</w:p>
        </w:tc>
        <w:tc>
          <w:tcPr>
            <w:tcW w:w="492" w:type="pct"/>
            <w:shd w:val="clear" w:color="auto" w:fill="E2EFD9" w:themeFill="accent6" w:themeFillTint="33"/>
          </w:tcPr>
          <w:p w14:paraId="14F8158D" w14:textId="5BE1AB40" w:rsidR="00DF4ECA" w:rsidRPr="00DF4ECA" w:rsidRDefault="00B81124" w:rsidP="00DF4ECA">
            <w:pPr>
              <w:snapToGrid w:val="0"/>
              <w:rPr>
                <w:rFonts w:ascii="Arial" w:hAnsi="Arial"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ja-JP"/>
              </w:rPr>
              <w:t>o further action is needed in terms of UE feature list. 16HARQ process is still under discussion in UE demodulation</w:t>
            </w:r>
          </w:p>
        </w:tc>
      </w:tr>
      <w:tr w:rsidR="00DF4ECA" w:rsidRPr="00DF4ECA" w14:paraId="26CFAB02" w14:textId="77777777" w:rsidTr="005605A5">
        <w:trPr>
          <w:trHeight w:val="870"/>
        </w:trPr>
        <w:tc>
          <w:tcPr>
            <w:tcW w:w="158" w:type="pct"/>
            <w:shd w:val="clear" w:color="auto" w:fill="auto"/>
          </w:tcPr>
          <w:p w14:paraId="30AF0579" w14:textId="32B4228E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lastRenderedPageBreak/>
              <w:t>6-1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571BB1D" w14:textId="439E7DBF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Basic BWP operation with restriction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24AF243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  <w:p w14:paraId="003CC112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1) 1 UE-specific RRC configured DL BWP per carrier</w:t>
            </w:r>
          </w:p>
          <w:p w14:paraId="35C78304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2) 1 UE-specific RRC configured UL BWP per carrier</w:t>
            </w:r>
          </w:p>
          <w:p w14:paraId="41FA0220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  <w:p w14:paraId="2F306D67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3) RRC reconfiguration of any parameters related to BWP</w:t>
            </w:r>
          </w:p>
          <w:p w14:paraId="6FE1D1D8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  <w:p w14:paraId="453C4BF9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4) BW of a UE-specific RRC configured BWP includes BW of 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u w:val="single"/>
              </w:rPr>
              <w:t>CORESET#0 (if CORESET#0 is present)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 and SSB for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Pcell</w:t>
            </w:r>
            <w:proofErr w:type="spellEnd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/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PScell</w:t>
            </w:r>
            <w:proofErr w:type="spellEnd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 (if </w:t>
            </w:r>
            <w:proofErr w:type="gram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configured)  and</w:t>
            </w:r>
            <w:proofErr w:type="gramEnd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lastRenderedPageBreak/>
              <w:t xml:space="preserve">BW of the UE-specific RRC configured BWP includes SSB for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Scell</w:t>
            </w:r>
            <w:proofErr w:type="spellEnd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 if there is SSB on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Scell</w:t>
            </w:r>
            <w:proofErr w:type="spellEnd"/>
          </w:p>
          <w:p w14:paraId="37241E4E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3" w:type="pct"/>
            <w:shd w:val="clear" w:color="auto" w:fill="auto"/>
          </w:tcPr>
          <w:p w14:paraId="7FAB56D8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B2FABBB" w14:textId="353B56B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EDC0A2A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A7EB004" w14:textId="407A7A5B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9338396" w14:textId="35B4C0AA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84BEE53" w14:textId="724FF7CC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>N.A.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402E861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00E2363D" w14:textId="77777777" w:rsidR="00DF4ECA" w:rsidRPr="00DF4ECA" w:rsidRDefault="00DF4ECA" w:rsidP="00DF4ECA">
            <w:pPr>
              <w:snapToGrid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This feature should be mandatory without capability </w:t>
            </w:r>
            <w:proofErr w:type="spellStart"/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  <w:r w:rsidRPr="00DF4E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for at least BWPs which is the same as the set of specified channel BW</w:t>
            </w:r>
          </w:p>
          <w:p w14:paraId="01476FA5" w14:textId="77777777" w:rsidR="00DF4ECA" w:rsidRPr="00B81124" w:rsidRDefault="00DF4ECA" w:rsidP="00DF4ECA">
            <w:pPr>
              <w:snapToGrid w:val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81124">
              <w:rPr>
                <w:rFonts w:ascii="Arial" w:hAnsi="Arial" w:cs="Arial"/>
                <w:color w:val="FF0000"/>
                <w:sz w:val="16"/>
                <w:szCs w:val="16"/>
              </w:rPr>
              <w:t>RAN4 may discuss other BW requirements.</w:t>
            </w:r>
          </w:p>
          <w:p w14:paraId="2C92CA3C" w14:textId="77777777" w:rsidR="00DF4ECA" w:rsidRPr="00DF4ECA" w:rsidRDefault="00DF4ECA" w:rsidP="00DF4ECA">
            <w:pPr>
              <w:snapToGrid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E999F63" w14:textId="1665351A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UE-specific RRC </w:t>
            </w: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lastRenderedPageBreak/>
              <w:t>configured DL/UL BWP can have the same or different numerology from the initial active DL/UL BWP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7684841C" w14:textId="43B2F4B5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B81124">
              <w:rPr>
                <w:rFonts w:ascii="Arial" w:eastAsia="ＭＳ Ｐゴシック" w:hAnsi="Arial" w:cs="Arial"/>
                <w:color w:val="FF0000"/>
                <w:sz w:val="16"/>
                <w:szCs w:val="16"/>
              </w:rPr>
              <w:lastRenderedPageBreak/>
              <w:t>RAN4</w:t>
            </w:r>
          </w:p>
        </w:tc>
        <w:tc>
          <w:tcPr>
            <w:tcW w:w="394" w:type="pct"/>
            <w:shd w:val="clear" w:color="000000" w:fill="BFBFBF"/>
            <w:vAlign w:val="center"/>
          </w:tcPr>
          <w:p w14:paraId="54CD1CA2" w14:textId="4362A62C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 xml:space="preserve">[Mandatory without capability </w:t>
            </w:r>
            <w:proofErr w:type="spellStart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signaling</w:t>
            </w:r>
            <w:proofErr w:type="spellEnd"/>
            <w:r w:rsidRPr="00DF4ECA"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  <w:t>]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BD0536F" w14:textId="77777777" w:rsidR="00DF4ECA" w:rsidRPr="00DF4ECA" w:rsidRDefault="00DF4ECA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E2EFD9" w:themeFill="accent6" w:themeFillTint="33"/>
          </w:tcPr>
          <w:p w14:paraId="621DA855" w14:textId="33E25A58" w:rsidR="00DF4ECA" w:rsidRPr="00DF4ECA" w:rsidRDefault="00B81124" w:rsidP="00DF4ECA">
            <w:pPr>
              <w:snapToGrid w:val="0"/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 w:themeColor="text1"/>
                <w:sz w:val="16"/>
                <w:szCs w:val="16"/>
                <w:lang w:eastAsia="ja-JP"/>
              </w:rPr>
              <w:t>RAN4 needs to decide signalling type and M/O?</w:t>
            </w:r>
          </w:p>
        </w:tc>
      </w:tr>
    </w:tbl>
    <w:p w14:paraId="2D406AC0" w14:textId="77777777" w:rsidR="00B81124" w:rsidRDefault="00B81124" w:rsidP="00603CB8">
      <w:pPr>
        <w:spacing w:after="120"/>
        <w:jc w:val="both"/>
        <w:rPr>
          <w:color w:val="000000" w:themeColor="text1"/>
          <w:lang w:eastAsia="ja-JP"/>
        </w:rPr>
      </w:pPr>
    </w:p>
    <w:p w14:paraId="40DF6F17" w14:textId="77777777" w:rsidR="002508C3" w:rsidRPr="00B81124" w:rsidRDefault="002508C3" w:rsidP="002508C3">
      <w:pPr>
        <w:spacing w:after="120"/>
        <w:jc w:val="both"/>
        <w:rPr>
          <w:b/>
          <w:color w:val="000000" w:themeColor="text1"/>
          <w:lang w:val="en-US" w:eastAsia="ja-JP"/>
        </w:rPr>
      </w:pPr>
      <w:r w:rsidRPr="00B81124">
        <w:rPr>
          <w:rFonts w:hint="eastAsia"/>
          <w:b/>
          <w:color w:val="000000" w:themeColor="text1"/>
          <w:lang w:val="en-US" w:eastAsia="ja-JP"/>
        </w:rPr>
        <w:t>P</w:t>
      </w:r>
      <w:r w:rsidRPr="00B81124">
        <w:rPr>
          <w:b/>
          <w:color w:val="000000" w:themeColor="text1"/>
          <w:lang w:val="en-US" w:eastAsia="ja-JP"/>
        </w:rPr>
        <w:t xml:space="preserve">roposal 1: Discuss the following remaining issues on </w:t>
      </w:r>
      <w:r>
        <w:rPr>
          <w:b/>
          <w:color w:val="000000" w:themeColor="text1"/>
          <w:lang w:val="en-US" w:eastAsia="ja-JP"/>
        </w:rPr>
        <w:t xml:space="preserve">RAN4 related UE features in </w:t>
      </w:r>
      <w:r w:rsidRPr="00B81124">
        <w:rPr>
          <w:b/>
          <w:color w:val="000000" w:themeColor="text1"/>
          <w:lang w:val="en-US" w:eastAsia="ja-JP"/>
        </w:rPr>
        <w:t>RAN1 UE feature list.</w:t>
      </w:r>
    </w:p>
    <w:p w14:paraId="56B5A8B6" w14:textId="15A2C3B2" w:rsidR="002508C3" w:rsidRPr="00B81124" w:rsidRDefault="002508C3" w:rsidP="002508C3">
      <w:pPr>
        <w:pStyle w:val="afb"/>
        <w:numPr>
          <w:ilvl w:val="1"/>
          <w:numId w:val="45"/>
        </w:numPr>
        <w:spacing w:after="120"/>
        <w:jc w:val="both"/>
        <w:rPr>
          <w:b/>
          <w:color w:val="000000" w:themeColor="text1"/>
          <w:lang w:val="en-US" w:eastAsia="ja-JP"/>
        </w:rPr>
      </w:pPr>
      <w:r w:rsidRPr="00B81124">
        <w:rPr>
          <w:b/>
          <w:color w:val="000000" w:themeColor="text1"/>
          <w:lang w:val="en-US" w:eastAsia="ja-JP"/>
        </w:rPr>
        <w:t xml:space="preserve">2-20, Beam correspondence, </w:t>
      </w:r>
      <w:r>
        <w:rPr>
          <w:b/>
          <w:color w:val="000000" w:themeColor="text1"/>
          <w:lang w:val="en-US" w:eastAsia="ja-JP"/>
        </w:rPr>
        <w:t xml:space="preserve">UE RF requirement for component-1 and </w:t>
      </w:r>
      <w:r w:rsidRPr="00B81124">
        <w:rPr>
          <w:b/>
          <w:color w:val="000000" w:themeColor="text1"/>
          <w:lang w:val="en-US" w:eastAsia="ja-JP"/>
        </w:rPr>
        <w:t>feasibility for component-2, e.g. intra-band or inter-band</w:t>
      </w:r>
      <w:r>
        <w:rPr>
          <w:b/>
          <w:color w:val="000000" w:themeColor="text1"/>
          <w:lang w:val="en-US" w:eastAsia="ja-JP"/>
        </w:rPr>
        <w:t>, as indicated in [</w:t>
      </w:r>
      <w:r w:rsidR="005A34C2">
        <w:rPr>
          <w:b/>
          <w:color w:val="000000" w:themeColor="text1"/>
          <w:lang w:val="en-US" w:eastAsia="ja-JP"/>
        </w:rPr>
        <w:t>4</w:t>
      </w:r>
      <w:r>
        <w:rPr>
          <w:b/>
          <w:color w:val="000000" w:themeColor="text1"/>
          <w:lang w:val="en-US" w:eastAsia="ja-JP"/>
        </w:rPr>
        <w:t>].</w:t>
      </w:r>
    </w:p>
    <w:p w14:paraId="1216226A" w14:textId="77777777" w:rsidR="002508C3" w:rsidRPr="00B81124" w:rsidRDefault="002508C3" w:rsidP="002508C3">
      <w:pPr>
        <w:pStyle w:val="afb"/>
        <w:numPr>
          <w:ilvl w:val="1"/>
          <w:numId w:val="45"/>
        </w:numPr>
        <w:spacing w:after="120"/>
        <w:jc w:val="both"/>
        <w:rPr>
          <w:b/>
          <w:color w:val="000000" w:themeColor="text1"/>
          <w:lang w:val="en-US" w:eastAsia="ja-JP"/>
        </w:rPr>
      </w:pPr>
      <w:r w:rsidRPr="00B81124">
        <w:rPr>
          <w:b/>
          <w:color w:val="000000" w:themeColor="text1"/>
          <w:lang w:val="en-US" w:eastAsia="ja-JP"/>
        </w:rPr>
        <w:t>4-1, Basic UL control channel, feasibility of frequency hopping for PUCCH formats for FR2</w:t>
      </w:r>
    </w:p>
    <w:p w14:paraId="7632FD3E" w14:textId="77777777" w:rsidR="002508C3" w:rsidRPr="00B81124" w:rsidRDefault="002508C3" w:rsidP="002508C3">
      <w:pPr>
        <w:pStyle w:val="afb"/>
        <w:numPr>
          <w:ilvl w:val="1"/>
          <w:numId w:val="45"/>
        </w:numPr>
        <w:spacing w:after="120"/>
        <w:jc w:val="both"/>
        <w:rPr>
          <w:b/>
          <w:color w:val="000000" w:themeColor="text1"/>
          <w:lang w:val="en-US" w:eastAsia="ja-JP"/>
        </w:rPr>
      </w:pPr>
      <w:r w:rsidRPr="00B81124">
        <w:rPr>
          <w:b/>
          <w:color w:val="000000" w:themeColor="text1"/>
          <w:lang w:val="en-US" w:eastAsia="ja-JP"/>
        </w:rPr>
        <w:t>6-1, Basic BWP operation with restriction, signaling type and M/O</w:t>
      </w:r>
    </w:p>
    <w:p w14:paraId="533047A5" w14:textId="77777777" w:rsidR="00DA059C" w:rsidRPr="002508C3" w:rsidRDefault="00DA059C" w:rsidP="00B81124">
      <w:pPr>
        <w:spacing w:after="120"/>
        <w:jc w:val="both"/>
        <w:rPr>
          <w:color w:val="000000" w:themeColor="text1"/>
          <w:lang w:val="en-US" w:eastAsia="ja-JP"/>
        </w:rPr>
      </w:pPr>
    </w:p>
    <w:p w14:paraId="27446D68" w14:textId="3000FDDC" w:rsidR="00B81124" w:rsidRDefault="00B81124" w:rsidP="00B81124">
      <w:pPr>
        <w:spacing w:after="120"/>
        <w:jc w:val="both"/>
        <w:rPr>
          <w:color w:val="000000" w:themeColor="text1"/>
          <w:lang w:val="en-US" w:eastAsia="ja-JP"/>
        </w:rPr>
      </w:pPr>
      <w:r>
        <w:rPr>
          <w:color w:val="000000" w:themeColor="text1"/>
          <w:lang w:val="en-US" w:eastAsia="ja-JP"/>
        </w:rPr>
        <w:t>What we need to address f</w:t>
      </w:r>
      <w:r w:rsidRPr="00B81124">
        <w:rPr>
          <w:color w:val="000000" w:themeColor="text1"/>
          <w:lang w:val="en-US" w:eastAsia="ja-JP"/>
        </w:rPr>
        <w:t xml:space="preserve">or </w:t>
      </w:r>
      <w:r>
        <w:rPr>
          <w:color w:val="000000" w:themeColor="text1"/>
          <w:lang w:val="en-US" w:eastAsia="ja-JP"/>
        </w:rPr>
        <w:t xml:space="preserve">feature </w:t>
      </w:r>
      <w:r w:rsidRPr="00B81124">
        <w:rPr>
          <w:color w:val="000000" w:themeColor="text1"/>
          <w:lang w:val="en-US" w:eastAsia="ja-JP"/>
        </w:rPr>
        <w:t>4-1</w:t>
      </w:r>
      <w:r>
        <w:rPr>
          <w:color w:val="000000" w:themeColor="text1"/>
          <w:lang w:val="en-US" w:eastAsia="ja-JP"/>
        </w:rPr>
        <w:t xml:space="preserve"> is whether enough demodulation performance of </w:t>
      </w:r>
      <w:r w:rsidR="000B1E36">
        <w:rPr>
          <w:color w:val="000000" w:themeColor="text1"/>
          <w:lang w:val="en-US" w:eastAsia="ja-JP"/>
        </w:rPr>
        <w:t xml:space="preserve">some </w:t>
      </w:r>
      <w:r>
        <w:rPr>
          <w:color w:val="000000" w:themeColor="text1"/>
          <w:lang w:val="en-US" w:eastAsia="ja-JP"/>
        </w:rPr>
        <w:t xml:space="preserve">PUCCH </w:t>
      </w:r>
      <w:r w:rsidR="000B1E36">
        <w:rPr>
          <w:color w:val="000000" w:themeColor="text1"/>
          <w:lang w:val="en-US" w:eastAsia="ja-JP"/>
        </w:rPr>
        <w:t>formats could be kept or not when assuming 120kHz SCS and frequency (RB) hopping. In TS38.101-</w:t>
      </w:r>
      <w:r w:rsidR="00971DC8">
        <w:rPr>
          <w:color w:val="000000" w:themeColor="text1"/>
          <w:lang w:val="en-US" w:eastAsia="ja-JP"/>
        </w:rPr>
        <w:t>2</w:t>
      </w:r>
      <w:r w:rsidR="000B1E36">
        <w:rPr>
          <w:color w:val="000000" w:themeColor="text1"/>
          <w:lang w:val="en-US" w:eastAsia="ja-JP"/>
        </w:rPr>
        <w:t>, the</w:t>
      </w:r>
      <w:r w:rsidR="00DA059C">
        <w:rPr>
          <w:color w:val="000000" w:themeColor="text1"/>
          <w:lang w:val="en-US" w:eastAsia="ja-JP"/>
        </w:rPr>
        <w:t xml:space="preserve"> transition period is allowed in case of RB hopping as follows</w:t>
      </w:r>
      <w:r w:rsidR="000B1E36">
        <w:rPr>
          <w:color w:val="000000" w:themeColor="text1"/>
          <w:lang w:val="en-US" w:eastAsia="ja-JP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0B1E36" w14:paraId="37DEFCEB" w14:textId="77777777" w:rsidTr="000B1E36">
        <w:tc>
          <w:tcPr>
            <w:tcW w:w="14281" w:type="dxa"/>
          </w:tcPr>
          <w:p w14:paraId="2676C2EB" w14:textId="77777777" w:rsidR="00DA059C" w:rsidRPr="00676D92" w:rsidRDefault="00DA059C" w:rsidP="00DA059C">
            <w:pPr>
              <w:pStyle w:val="4"/>
              <w:outlineLvl w:val="3"/>
            </w:pPr>
            <w:bookmarkStart w:id="1" w:name="_Toc526340836"/>
            <w:r w:rsidRPr="00676D92">
              <w:t>6.3.3.1</w:t>
            </w:r>
            <w:r w:rsidRPr="00676D92">
              <w:tab/>
              <w:t>General</w:t>
            </w:r>
            <w:bookmarkEnd w:id="1"/>
          </w:p>
          <w:p w14:paraId="3520782E" w14:textId="77777777" w:rsidR="00DA059C" w:rsidRPr="00676D92" w:rsidRDefault="00DA059C" w:rsidP="00DA059C">
            <w:r w:rsidRPr="00676D92">
              <w:t>The transmit ON/OFF time mask defines the transient period(s) allowed</w:t>
            </w:r>
          </w:p>
          <w:p w14:paraId="39AF4923" w14:textId="77777777" w:rsidR="00DA059C" w:rsidRPr="00676D92" w:rsidRDefault="00DA059C" w:rsidP="00DA059C">
            <w:pPr>
              <w:pStyle w:val="B1"/>
            </w:pPr>
            <w:r w:rsidRPr="00676D92">
              <w:t>-</w:t>
            </w:r>
            <w:r w:rsidRPr="00676D92">
              <w:tab/>
              <w:t>between transmit OFF power and transmit ON power symbols (transmit ON/OFF)</w:t>
            </w:r>
          </w:p>
          <w:p w14:paraId="1495A80C" w14:textId="77777777" w:rsidR="00DA059C" w:rsidRPr="00676D92" w:rsidRDefault="00DA059C" w:rsidP="00DA059C">
            <w:pPr>
              <w:pStyle w:val="B1"/>
            </w:pPr>
            <w:r w:rsidRPr="00676D92">
              <w:t>-</w:t>
            </w:r>
            <w:r w:rsidRPr="00676D92">
              <w:tab/>
              <w:t xml:space="preserve">between continuous ON-power transmissions when power change or </w:t>
            </w:r>
            <w:r w:rsidRPr="00DA059C">
              <w:rPr>
                <w:highlight w:val="yellow"/>
              </w:rPr>
              <w:t>RB hopping is applied.</w:t>
            </w:r>
          </w:p>
          <w:p w14:paraId="4C857B7B" w14:textId="1959A3EC" w:rsidR="000B1E36" w:rsidRPr="00DA059C" w:rsidRDefault="00DA059C" w:rsidP="00DA059C">
            <w:r w:rsidRPr="00DA059C">
              <w:rPr>
                <w:highlight w:val="yellow"/>
              </w:rPr>
              <w:t>In case of RB hopping, transition period is shared symmetrically.</w:t>
            </w:r>
          </w:p>
        </w:tc>
      </w:tr>
    </w:tbl>
    <w:p w14:paraId="54D5F811" w14:textId="77777777" w:rsidR="00971DC8" w:rsidRDefault="00971DC8" w:rsidP="00B81124">
      <w:pPr>
        <w:spacing w:after="120"/>
        <w:jc w:val="both"/>
        <w:rPr>
          <w:color w:val="000000" w:themeColor="text1"/>
          <w:lang w:val="en-US" w:eastAsia="ja-JP"/>
        </w:rPr>
      </w:pPr>
    </w:p>
    <w:p w14:paraId="14C73F61" w14:textId="437052AF" w:rsidR="000B1E36" w:rsidRDefault="00971DC8" w:rsidP="00B81124">
      <w:pPr>
        <w:spacing w:after="120"/>
        <w:jc w:val="both"/>
        <w:rPr>
          <w:color w:val="000000" w:themeColor="text1"/>
          <w:lang w:val="en-US" w:eastAsia="ja-JP"/>
        </w:rPr>
      </w:pPr>
      <w:r>
        <w:rPr>
          <w:color w:val="000000" w:themeColor="text1"/>
          <w:lang w:val="en-US" w:eastAsia="ja-JP"/>
        </w:rPr>
        <w:t>T</w:t>
      </w:r>
      <w:r w:rsidR="00DA059C">
        <w:rPr>
          <w:color w:val="000000" w:themeColor="text1"/>
          <w:lang w:val="en-US" w:eastAsia="ja-JP"/>
        </w:rPr>
        <w:t>ransition period is 5us</w:t>
      </w:r>
      <w:r>
        <w:rPr>
          <w:color w:val="000000" w:themeColor="text1"/>
          <w:lang w:val="en-US" w:eastAsia="ja-JP"/>
        </w:rPr>
        <w:t xml:space="preserve"> in FR2</w:t>
      </w:r>
      <w:r w:rsidR="00DA059C">
        <w:rPr>
          <w:color w:val="000000" w:themeColor="text1"/>
          <w:lang w:val="en-US" w:eastAsia="ja-JP"/>
        </w:rPr>
        <w:t xml:space="preserve">, but an OFDM symbol duration at 120kHz SCS is roughly 9us, hence it should be clarified </w:t>
      </w:r>
      <w:r w:rsidR="005D6CCE">
        <w:rPr>
          <w:color w:val="000000" w:themeColor="text1"/>
          <w:lang w:val="en-US" w:eastAsia="ja-JP"/>
        </w:rPr>
        <w:t>whether</w:t>
      </w:r>
      <w:r w:rsidR="00DA059C">
        <w:rPr>
          <w:color w:val="000000" w:themeColor="text1"/>
          <w:lang w:val="en-US" w:eastAsia="ja-JP"/>
        </w:rPr>
        <w:t xml:space="preserve"> </w:t>
      </w:r>
      <w:r w:rsidR="00BA0975">
        <w:rPr>
          <w:color w:val="000000" w:themeColor="text1"/>
          <w:lang w:val="en-US" w:eastAsia="ja-JP"/>
        </w:rPr>
        <w:t xml:space="preserve">enough </w:t>
      </w:r>
      <w:r w:rsidR="00DA059C">
        <w:rPr>
          <w:color w:val="000000" w:themeColor="text1"/>
          <w:lang w:val="en-US" w:eastAsia="ja-JP"/>
        </w:rPr>
        <w:t>demodulation performance of PUCCH, e.g.</w:t>
      </w:r>
      <w:r w:rsidR="00BA0975">
        <w:rPr>
          <w:color w:val="000000" w:themeColor="text1"/>
          <w:lang w:val="en-US" w:eastAsia="ja-JP"/>
        </w:rPr>
        <w:t xml:space="preserve"> </w:t>
      </w:r>
      <w:r w:rsidR="00BB08F1">
        <w:rPr>
          <w:color w:val="000000" w:themeColor="text1"/>
          <w:lang w:val="en-US" w:eastAsia="ja-JP"/>
        </w:rPr>
        <w:t xml:space="preserve">PUCCH </w:t>
      </w:r>
      <w:r w:rsidR="00BA0975">
        <w:rPr>
          <w:color w:val="000000" w:themeColor="text1"/>
          <w:lang w:val="en-US" w:eastAsia="ja-JP"/>
        </w:rPr>
        <w:t xml:space="preserve">format 0 </w:t>
      </w:r>
      <w:r w:rsidR="00BB08F1">
        <w:rPr>
          <w:color w:val="000000" w:themeColor="text1"/>
          <w:lang w:val="en-US" w:eastAsia="ja-JP"/>
        </w:rPr>
        <w:t xml:space="preserve">with </w:t>
      </w:r>
      <w:r w:rsidR="00DA059C">
        <w:rPr>
          <w:color w:val="000000" w:themeColor="text1"/>
          <w:lang w:val="en-US" w:eastAsia="ja-JP"/>
        </w:rPr>
        <w:t xml:space="preserve">2 </w:t>
      </w:r>
      <w:r w:rsidR="005D6CCE">
        <w:rPr>
          <w:color w:val="000000" w:themeColor="text1"/>
          <w:lang w:val="en-US" w:eastAsia="ja-JP"/>
        </w:rPr>
        <w:t>symbols</w:t>
      </w:r>
      <w:r w:rsidR="00DA059C">
        <w:rPr>
          <w:color w:val="000000" w:themeColor="text1"/>
          <w:lang w:val="en-US" w:eastAsia="ja-JP"/>
        </w:rPr>
        <w:t xml:space="preserve">, </w:t>
      </w:r>
      <w:r w:rsidR="005D6CCE">
        <w:rPr>
          <w:color w:val="000000" w:themeColor="text1"/>
          <w:lang w:val="en-US" w:eastAsia="ja-JP"/>
        </w:rPr>
        <w:t>can be kept or not</w:t>
      </w:r>
      <w:r w:rsidR="00BB08F1">
        <w:rPr>
          <w:color w:val="000000" w:themeColor="text1"/>
          <w:lang w:val="en-US" w:eastAsia="ja-JP"/>
        </w:rPr>
        <w:t xml:space="preserve"> </w:t>
      </w:r>
      <w:r w:rsidR="00BA0975">
        <w:rPr>
          <w:color w:val="000000" w:themeColor="text1"/>
          <w:lang w:val="en-US" w:eastAsia="ja-JP"/>
        </w:rPr>
        <w:t xml:space="preserve">when assuming intra slot frequency hopping </w:t>
      </w:r>
      <w:r w:rsidR="00BB08F1">
        <w:rPr>
          <w:color w:val="000000" w:themeColor="text1"/>
          <w:lang w:val="en-US" w:eastAsia="ja-JP"/>
        </w:rPr>
        <w:t>as follows</w:t>
      </w:r>
      <w:r w:rsidR="005D6CCE">
        <w:rPr>
          <w:color w:val="000000" w:themeColor="text1"/>
          <w:lang w:val="en-US" w:eastAsia="ja-JP"/>
        </w:rPr>
        <w:t>.</w:t>
      </w:r>
    </w:p>
    <w:p w14:paraId="2F1D8F78" w14:textId="40B81953" w:rsidR="005D6CCE" w:rsidRDefault="005D6CCE" w:rsidP="005D6CCE">
      <w:pPr>
        <w:spacing w:after="120"/>
        <w:jc w:val="center"/>
        <w:rPr>
          <w:color w:val="000000" w:themeColor="text1"/>
          <w:lang w:val="en-US" w:eastAsia="ja-JP"/>
        </w:rPr>
      </w:pPr>
      <w:r w:rsidRPr="005D6CCE">
        <w:rPr>
          <w:rFonts w:hint="eastAsia"/>
          <w:noProof/>
        </w:rPr>
        <w:lastRenderedPageBreak/>
        <w:drawing>
          <wp:inline distT="0" distB="0" distL="0" distR="0" wp14:anchorId="2BE94EFD" wp14:editId="4D76A3C1">
            <wp:extent cx="4016326" cy="3243987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021" cy="324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05F5D" w14:textId="63EABE00" w:rsidR="005D6CCE" w:rsidRDefault="00BB08F1" w:rsidP="005D6CCE">
      <w:pPr>
        <w:spacing w:after="120"/>
        <w:jc w:val="center"/>
        <w:rPr>
          <w:color w:val="000000" w:themeColor="text1"/>
          <w:lang w:val="en-US" w:eastAsia="ja-JP"/>
        </w:rPr>
      </w:pPr>
      <w:r>
        <w:rPr>
          <w:color w:val="000000" w:themeColor="text1"/>
          <w:lang w:val="en-US" w:eastAsia="ja-JP"/>
        </w:rPr>
        <w:t>Fig. Transition period for PUCCH assuming 120kHz SCS in FR2</w:t>
      </w:r>
    </w:p>
    <w:p w14:paraId="3F87F32C" w14:textId="5E3E6249" w:rsidR="00BB08F1" w:rsidRPr="00971DC8" w:rsidRDefault="00BB08F1" w:rsidP="005D6CCE">
      <w:pPr>
        <w:spacing w:after="120"/>
        <w:jc w:val="center"/>
        <w:rPr>
          <w:b/>
          <w:color w:val="000000" w:themeColor="text1"/>
          <w:lang w:val="en-US" w:eastAsia="ja-JP"/>
        </w:rPr>
      </w:pPr>
    </w:p>
    <w:p w14:paraId="3A6F9BE1" w14:textId="7C681202" w:rsidR="00BB08F1" w:rsidRDefault="00BB08F1" w:rsidP="00BB08F1">
      <w:pPr>
        <w:spacing w:after="120"/>
        <w:rPr>
          <w:b/>
          <w:color w:val="000000" w:themeColor="text1"/>
          <w:lang w:val="en-US" w:eastAsia="ja-JP"/>
        </w:rPr>
      </w:pPr>
      <w:r w:rsidRPr="00971DC8">
        <w:rPr>
          <w:b/>
          <w:color w:val="000000" w:themeColor="text1"/>
          <w:lang w:val="en-US" w:eastAsia="ja-JP"/>
        </w:rPr>
        <w:t xml:space="preserve">Proposal 2: For 4-1, RAN4 </w:t>
      </w:r>
      <w:r w:rsidR="00971DC8">
        <w:rPr>
          <w:b/>
          <w:color w:val="000000" w:themeColor="text1"/>
          <w:lang w:val="en-US" w:eastAsia="ja-JP"/>
        </w:rPr>
        <w:t>clarify whether</w:t>
      </w:r>
      <w:r w:rsidRPr="00971DC8">
        <w:rPr>
          <w:b/>
          <w:color w:val="000000" w:themeColor="text1"/>
          <w:lang w:val="en-US" w:eastAsia="ja-JP"/>
        </w:rPr>
        <w:t xml:space="preserve"> </w:t>
      </w:r>
      <w:r w:rsidR="00971DC8">
        <w:rPr>
          <w:b/>
          <w:color w:val="000000" w:themeColor="text1"/>
          <w:lang w:val="en-US" w:eastAsia="ja-JP"/>
        </w:rPr>
        <w:t xml:space="preserve">enough </w:t>
      </w:r>
      <w:r w:rsidR="00BA0975">
        <w:rPr>
          <w:b/>
          <w:color w:val="000000" w:themeColor="text1"/>
          <w:lang w:val="en-US" w:eastAsia="ja-JP"/>
        </w:rPr>
        <w:t xml:space="preserve">PUCCH </w:t>
      </w:r>
      <w:r w:rsidRPr="00971DC8">
        <w:rPr>
          <w:b/>
          <w:color w:val="000000" w:themeColor="text1"/>
          <w:lang w:val="en-US" w:eastAsia="ja-JP"/>
        </w:rPr>
        <w:t xml:space="preserve">demodulation performance could be kept or not </w:t>
      </w:r>
      <w:r w:rsidR="00833587">
        <w:rPr>
          <w:b/>
          <w:color w:val="000000" w:themeColor="text1"/>
          <w:lang w:val="en-US" w:eastAsia="ja-JP"/>
        </w:rPr>
        <w:t xml:space="preserve">at least </w:t>
      </w:r>
      <w:r w:rsidRPr="00971DC8">
        <w:rPr>
          <w:b/>
          <w:color w:val="000000" w:themeColor="text1"/>
          <w:lang w:val="en-US" w:eastAsia="ja-JP"/>
        </w:rPr>
        <w:t>for PUCCH</w:t>
      </w:r>
      <w:r w:rsidR="00BA0975">
        <w:rPr>
          <w:b/>
          <w:color w:val="000000" w:themeColor="text1"/>
          <w:lang w:val="en-US" w:eastAsia="ja-JP"/>
        </w:rPr>
        <w:t xml:space="preserve"> format 0</w:t>
      </w:r>
      <w:r w:rsidRPr="00971DC8">
        <w:rPr>
          <w:b/>
          <w:color w:val="000000" w:themeColor="text1"/>
          <w:lang w:val="en-US" w:eastAsia="ja-JP"/>
        </w:rPr>
        <w:t xml:space="preserve"> with 2 OF</w:t>
      </w:r>
      <w:r w:rsidR="00971DC8" w:rsidRPr="00971DC8">
        <w:rPr>
          <w:b/>
          <w:color w:val="000000" w:themeColor="text1"/>
          <w:lang w:val="en-US" w:eastAsia="ja-JP"/>
        </w:rPr>
        <w:t>DM</w:t>
      </w:r>
      <w:r w:rsidRPr="00971DC8">
        <w:rPr>
          <w:b/>
          <w:color w:val="000000" w:themeColor="text1"/>
          <w:lang w:val="en-US" w:eastAsia="ja-JP"/>
        </w:rPr>
        <w:t xml:space="preserve"> symbols</w:t>
      </w:r>
      <w:r w:rsidR="00BA0975">
        <w:rPr>
          <w:b/>
          <w:color w:val="000000" w:themeColor="text1"/>
          <w:lang w:val="en-US" w:eastAsia="ja-JP"/>
        </w:rPr>
        <w:t xml:space="preserve"> and </w:t>
      </w:r>
      <w:r w:rsidRPr="00971DC8">
        <w:rPr>
          <w:b/>
          <w:color w:val="000000" w:themeColor="text1"/>
          <w:lang w:val="en-US" w:eastAsia="ja-JP"/>
        </w:rPr>
        <w:t xml:space="preserve">120kHz SCS </w:t>
      </w:r>
      <w:r w:rsidR="00BA0975">
        <w:rPr>
          <w:b/>
          <w:color w:val="000000" w:themeColor="text1"/>
          <w:lang w:val="en-US" w:eastAsia="ja-JP"/>
        </w:rPr>
        <w:t>in FR2 (</w:t>
      </w:r>
      <w:r w:rsidR="00971DC8">
        <w:rPr>
          <w:b/>
          <w:color w:val="000000" w:themeColor="text1"/>
          <w:lang w:val="en-US" w:eastAsia="ja-JP"/>
        </w:rPr>
        <w:t>as a worst case</w:t>
      </w:r>
      <w:r w:rsidR="00BA0975">
        <w:rPr>
          <w:b/>
          <w:color w:val="000000" w:themeColor="text1"/>
          <w:lang w:val="en-US" w:eastAsia="ja-JP"/>
        </w:rPr>
        <w:t xml:space="preserve">) when intra-slot </w:t>
      </w:r>
      <w:r w:rsidR="00BA0975" w:rsidRPr="00971DC8">
        <w:rPr>
          <w:b/>
          <w:color w:val="000000" w:themeColor="text1"/>
          <w:lang w:val="en-US" w:eastAsia="ja-JP"/>
        </w:rPr>
        <w:t>frequency (RB) hopping</w:t>
      </w:r>
      <w:r w:rsidR="00BA0975">
        <w:rPr>
          <w:b/>
          <w:color w:val="000000" w:themeColor="text1"/>
          <w:lang w:val="en-US" w:eastAsia="ja-JP"/>
        </w:rPr>
        <w:t xml:space="preserve"> is enabled</w:t>
      </w:r>
      <w:r w:rsidRPr="00971DC8">
        <w:rPr>
          <w:b/>
          <w:color w:val="000000" w:themeColor="text1"/>
          <w:lang w:val="en-US" w:eastAsia="ja-JP"/>
        </w:rPr>
        <w:t>.</w:t>
      </w:r>
    </w:p>
    <w:p w14:paraId="3F33F9A2" w14:textId="47FC8B0D" w:rsidR="002508C3" w:rsidRDefault="002508C3" w:rsidP="00BB08F1">
      <w:pPr>
        <w:spacing w:after="120"/>
        <w:rPr>
          <w:b/>
          <w:color w:val="000000" w:themeColor="text1"/>
          <w:lang w:val="en-US" w:eastAsia="ja-JP"/>
        </w:rPr>
      </w:pPr>
    </w:p>
    <w:p w14:paraId="4EAA055F" w14:textId="418A42F5" w:rsidR="002508C3" w:rsidRPr="00BB08F1" w:rsidRDefault="002508C3" w:rsidP="002508C3">
      <w:pPr>
        <w:pStyle w:val="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 w:rsidR="0003510A">
        <w:rPr>
          <w:lang w:eastAsia="ja-JP"/>
        </w:rPr>
        <w:t>2</w:t>
      </w:r>
      <w:r>
        <w:rPr>
          <w:lang w:eastAsia="ja-JP"/>
        </w:rPr>
        <w:t>. Update of RAN4 feature list</w:t>
      </w:r>
    </w:p>
    <w:p w14:paraId="3E6F4B56" w14:textId="0E1E8A38" w:rsidR="002508C3" w:rsidRPr="0003510A" w:rsidRDefault="0003510A" w:rsidP="00BB08F1">
      <w:pPr>
        <w:spacing w:after="120"/>
        <w:rPr>
          <w:color w:val="000000" w:themeColor="text1"/>
          <w:lang w:eastAsia="ja-JP"/>
        </w:rPr>
      </w:pPr>
      <w:r w:rsidRPr="0003510A">
        <w:rPr>
          <w:rFonts w:hint="eastAsia"/>
          <w:color w:val="000000" w:themeColor="text1"/>
          <w:lang w:eastAsia="ja-JP"/>
        </w:rPr>
        <w:t>A</w:t>
      </w:r>
      <w:r w:rsidRPr="0003510A">
        <w:rPr>
          <w:color w:val="000000" w:themeColor="text1"/>
          <w:lang w:eastAsia="ja-JP"/>
        </w:rPr>
        <w:t xml:space="preserve">t the last RAN4 meeting, </w:t>
      </w:r>
      <w:r w:rsidR="008854B3">
        <w:rPr>
          <w:color w:val="000000" w:themeColor="text1"/>
          <w:lang w:eastAsia="ja-JP"/>
        </w:rPr>
        <w:t xml:space="preserve">the </w:t>
      </w:r>
      <w:proofErr w:type="spellStart"/>
      <w:r w:rsidRPr="0003510A">
        <w:rPr>
          <w:color w:val="000000" w:themeColor="text1"/>
          <w:lang w:eastAsia="ja-JP"/>
        </w:rPr>
        <w:t>the</w:t>
      </w:r>
      <w:proofErr w:type="spellEnd"/>
      <w:r w:rsidRPr="0003510A">
        <w:rPr>
          <w:color w:val="000000" w:themeColor="text1"/>
          <w:lang w:eastAsia="ja-JP"/>
        </w:rPr>
        <w:t xml:space="preserve"> following was agreed </w:t>
      </w:r>
      <w:r w:rsidR="008854B3">
        <w:rPr>
          <w:color w:val="000000" w:themeColor="text1"/>
          <w:lang w:eastAsia="ja-JP"/>
        </w:rPr>
        <w:t xml:space="preserve">regarding intra-cell interference mitigation receiver </w:t>
      </w:r>
      <w:r w:rsidRPr="0003510A">
        <w:rPr>
          <w:color w:val="000000" w:themeColor="text1"/>
          <w:lang w:eastAsia="ja-JP"/>
        </w:rPr>
        <w:t xml:space="preserve">in UE demodulation </w:t>
      </w:r>
      <w:bookmarkStart w:id="2" w:name="_GoBack"/>
      <w:bookmarkEnd w:id="2"/>
      <w:r w:rsidRPr="0003510A">
        <w:rPr>
          <w:color w:val="000000" w:themeColor="text1"/>
          <w:lang w:eastAsia="ja-JP"/>
        </w:rPr>
        <w:t>session: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281"/>
      </w:tblGrid>
      <w:tr w:rsidR="0003510A" w:rsidRPr="0003510A" w14:paraId="156FF4F8" w14:textId="77777777" w:rsidTr="0003510A">
        <w:tc>
          <w:tcPr>
            <w:tcW w:w="14281" w:type="dxa"/>
          </w:tcPr>
          <w:p w14:paraId="0EE143CE" w14:textId="77777777" w:rsidR="0003510A" w:rsidRPr="0052378E" w:rsidRDefault="0003510A" w:rsidP="0003510A">
            <w:pPr>
              <w:rPr>
                <w:highlight w:val="green"/>
                <w:lang w:eastAsia="zh-CN"/>
              </w:rPr>
            </w:pPr>
            <w:r w:rsidRPr="0052378E">
              <w:rPr>
                <w:rFonts w:hint="eastAsia"/>
                <w:highlight w:val="green"/>
                <w:lang w:eastAsia="zh-CN"/>
              </w:rPr>
              <w:t xml:space="preserve">Agreement: </w:t>
            </w:r>
            <w:r w:rsidRPr="0052378E">
              <w:rPr>
                <w:highlight w:val="green"/>
              </w:rPr>
              <w:t>Introduce R-ML SU-MIMO IM receiver as an additional RAN4 NR UE feature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97"/>
              <w:gridCol w:w="283"/>
              <w:gridCol w:w="709"/>
              <w:gridCol w:w="1276"/>
              <w:gridCol w:w="697"/>
              <w:gridCol w:w="343"/>
              <w:gridCol w:w="934"/>
              <w:gridCol w:w="413"/>
              <w:gridCol w:w="800"/>
              <w:gridCol w:w="800"/>
              <w:gridCol w:w="631"/>
              <w:gridCol w:w="872"/>
              <w:gridCol w:w="723"/>
              <w:gridCol w:w="997"/>
            </w:tblGrid>
            <w:tr w:rsidR="0003510A" w:rsidRPr="0052378E" w14:paraId="1D87FBEE" w14:textId="77777777" w:rsidTr="00466827">
              <w:trPr>
                <w:trHeight w:val="471"/>
                <w:jc w:val="center"/>
              </w:trPr>
              <w:tc>
                <w:tcPr>
                  <w:tcW w:w="454" w:type="dxa"/>
                  <w:shd w:val="clear" w:color="000000" w:fill="99CCFF"/>
                  <w:vAlign w:val="center"/>
                  <w:hideMark/>
                </w:tcPr>
                <w:p w14:paraId="72F2E7A9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WI</w:t>
                  </w:r>
                </w:p>
              </w:tc>
              <w:tc>
                <w:tcPr>
                  <w:tcW w:w="283" w:type="dxa"/>
                  <w:shd w:val="clear" w:color="000000" w:fill="99CCFF"/>
                  <w:vAlign w:val="center"/>
                  <w:hideMark/>
                </w:tcPr>
                <w:p w14:paraId="6BAE3694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#</w:t>
                  </w:r>
                </w:p>
              </w:tc>
              <w:tc>
                <w:tcPr>
                  <w:tcW w:w="709" w:type="dxa"/>
                  <w:shd w:val="clear" w:color="000000" w:fill="99CCFF"/>
                  <w:vAlign w:val="center"/>
                  <w:hideMark/>
                </w:tcPr>
                <w:p w14:paraId="1570B318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Feature group</w:t>
                  </w:r>
                </w:p>
              </w:tc>
              <w:tc>
                <w:tcPr>
                  <w:tcW w:w="1276" w:type="dxa"/>
                  <w:shd w:val="clear" w:color="000000" w:fill="99CCFF"/>
                  <w:vAlign w:val="center"/>
                  <w:hideMark/>
                </w:tcPr>
                <w:p w14:paraId="1F9365C7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Components</w:t>
                  </w:r>
                </w:p>
              </w:tc>
              <w:tc>
                <w:tcPr>
                  <w:tcW w:w="460" w:type="dxa"/>
                  <w:shd w:val="clear" w:color="000000" w:fill="99CCFF"/>
                  <w:vAlign w:val="center"/>
                  <w:hideMark/>
                </w:tcPr>
                <w:p w14:paraId="74B456C3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Prerequisite feature groups </w:t>
                  </w:r>
                </w:p>
              </w:tc>
              <w:tc>
                <w:tcPr>
                  <w:tcW w:w="343" w:type="dxa"/>
                  <w:shd w:val="clear" w:color="000000" w:fill="99CCFF"/>
                  <w:vAlign w:val="center"/>
                  <w:hideMark/>
                </w:tcPr>
                <w:p w14:paraId="45715E04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Need for </w:t>
                  </w:r>
                  <w:proofErr w:type="spellStart"/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gNB</w:t>
                  </w:r>
                  <w:proofErr w:type="spellEnd"/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 to know </w:t>
                  </w:r>
                </w:p>
              </w:tc>
              <w:tc>
                <w:tcPr>
                  <w:tcW w:w="934" w:type="dxa"/>
                  <w:shd w:val="clear" w:color="000000" w:fill="99CCFF"/>
                  <w:vAlign w:val="center"/>
                  <w:hideMark/>
                </w:tcPr>
                <w:p w14:paraId="29309DF0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Consequences if the feature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br/>
                    <w:t xml:space="preserve"> is not supported by the UE</w:t>
                  </w:r>
                </w:p>
              </w:tc>
              <w:tc>
                <w:tcPr>
                  <w:tcW w:w="413" w:type="dxa"/>
                  <w:shd w:val="clear" w:color="000000" w:fill="99CCFF"/>
                  <w:vAlign w:val="center"/>
                  <w:hideMark/>
                </w:tcPr>
                <w:p w14:paraId="4927DBE6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Type (See </w:t>
                  </w:r>
                  <w:hyperlink r:id="rId9" w:history="1">
                    <w:r>
                      <w:rPr>
                        <w:rStyle w:val="ae"/>
                        <w:rFonts w:ascii="Arial" w:eastAsia="ＭＳ Ｐゴシック" w:hAnsi="Arial" w:cs="Arial"/>
                        <w:sz w:val="12"/>
                        <w:szCs w:val="16"/>
                        <w:highlight w:val="green"/>
                      </w:rPr>
                      <w:t>R4-17121</w:t>
                    </w:r>
                  </w:hyperlink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 19)</w:t>
                  </w:r>
                </w:p>
              </w:tc>
              <w:tc>
                <w:tcPr>
                  <w:tcW w:w="800" w:type="dxa"/>
                  <w:shd w:val="clear" w:color="000000" w:fill="A6A6A6"/>
                  <w:vAlign w:val="center"/>
                  <w:hideMark/>
                </w:tcPr>
                <w:p w14:paraId="192BECFC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Need of FDD/TDD differentiation</w:t>
                  </w:r>
                </w:p>
              </w:tc>
              <w:tc>
                <w:tcPr>
                  <w:tcW w:w="800" w:type="dxa"/>
                  <w:shd w:val="clear" w:color="000000" w:fill="A6A6A6"/>
                  <w:vAlign w:val="center"/>
                  <w:hideMark/>
                </w:tcPr>
                <w:p w14:paraId="452F3EA3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Need of FR1/FR2 differentiation</w:t>
                  </w:r>
                </w:p>
              </w:tc>
              <w:tc>
                <w:tcPr>
                  <w:tcW w:w="631" w:type="dxa"/>
                  <w:shd w:val="clear" w:color="000000" w:fill="99CCFF"/>
                  <w:vAlign w:val="center"/>
                  <w:hideMark/>
                </w:tcPr>
                <w:p w14:paraId="4082CACE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RAN5 implication</w:t>
                  </w:r>
                </w:p>
              </w:tc>
              <w:tc>
                <w:tcPr>
                  <w:tcW w:w="872" w:type="dxa"/>
                  <w:shd w:val="clear" w:color="000000" w:fill="99CCFF"/>
                  <w:vAlign w:val="center"/>
                  <w:hideMark/>
                </w:tcPr>
                <w:p w14:paraId="74AB27A2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Remarks</w:t>
                  </w:r>
                </w:p>
              </w:tc>
              <w:tc>
                <w:tcPr>
                  <w:tcW w:w="723" w:type="dxa"/>
                  <w:shd w:val="clear" w:color="000000" w:fill="99CCFF"/>
                  <w:vAlign w:val="center"/>
                  <w:hideMark/>
                </w:tcPr>
                <w:p w14:paraId="651C7A25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Responsible WG</w:t>
                  </w:r>
                </w:p>
              </w:tc>
              <w:tc>
                <w:tcPr>
                  <w:tcW w:w="997" w:type="dxa"/>
                  <w:shd w:val="clear" w:color="000000" w:fill="FF00FF"/>
                  <w:vAlign w:val="center"/>
                  <w:hideMark/>
                </w:tcPr>
                <w:p w14:paraId="1086C6DE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Recommendation for TSG-RAN</w:t>
                  </w:r>
                </w:p>
              </w:tc>
            </w:tr>
            <w:tr w:rsidR="0003510A" w:rsidRPr="00DF21B8" w14:paraId="50AE2912" w14:textId="77777777" w:rsidTr="00466827">
              <w:trPr>
                <w:trHeight w:val="622"/>
                <w:jc w:val="center"/>
              </w:trPr>
              <w:tc>
                <w:tcPr>
                  <w:tcW w:w="454" w:type="dxa"/>
                  <w:shd w:val="clear" w:color="auto" w:fill="auto"/>
                  <w:vAlign w:val="center"/>
                </w:tcPr>
                <w:p w14:paraId="04D8A5AB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Baseband</w:t>
                  </w:r>
                </w:p>
              </w:tc>
              <w:tc>
                <w:tcPr>
                  <w:tcW w:w="283" w:type="dxa"/>
                  <w:shd w:val="clear" w:color="auto" w:fill="auto"/>
                  <w:vAlign w:val="center"/>
                </w:tcPr>
                <w:p w14:paraId="06583A30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3-4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01BCE53C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SU-MIMO Interference Mitigation advanced receiver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6B2DF33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1)</w:t>
                  </w:r>
                  <w:r w:rsidRPr="0052378E">
                    <w:rPr>
                      <w:highlight w:val="green"/>
                    </w:rPr>
                    <w:t xml:space="preserve">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R-ML (reduced complexity ML) receivers with enhanced inter-stream interference suppression for SU-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lastRenderedPageBreak/>
                    <w:t xml:space="preserve">MIMO transmissions with rank 2 with 2 RX antennas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br/>
                    <w:t>2)</w:t>
                  </w:r>
                  <w:r w:rsidRPr="0052378E">
                    <w:rPr>
                      <w:highlight w:val="green"/>
                    </w:rPr>
                    <w:t xml:space="preserve">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R-ML (reduced complexity ML) receivers with enhanced inter-stream interference suppression for SU-MIMO transmissions with rank 2, 3, and 4 with 4 RX antennas</w:t>
                  </w:r>
                </w:p>
              </w:tc>
              <w:tc>
                <w:tcPr>
                  <w:tcW w:w="460" w:type="dxa"/>
                  <w:shd w:val="clear" w:color="auto" w:fill="auto"/>
                  <w:vAlign w:val="center"/>
                </w:tcPr>
                <w:p w14:paraId="57298E68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</w:p>
              </w:tc>
              <w:tc>
                <w:tcPr>
                  <w:tcW w:w="343" w:type="dxa"/>
                  <w:shd w:val="clear" w:color="auto" w:fill="auto"/>
                  <w:vAlign w:val="center"/>
                </w:tcPr>
                <w:p w14:paraId="70490551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No</w:t>
                  </w:r>
                </w:p>
              </w:tc>
              <w:tc>
                <w:tcPr>
                  <w:tcW w:w="934" w:type="dxa"/>
                  <w:shd w:val="clear" w:color="auto" w:fill="auto"/>
                  <w:vAlign w:val="center"/>
                </w:tcPr>
                <w:p w14:paraId="3C5DF6F4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  <w:lang w:val="en-US"/>
                    </w:rPr>
                    <w:t>SU-</w:t>
                  </w:r>
                  <w:proofErr w:type="gramStart"/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  <w:lang w:val="en-US"/>
                    </w:rPr>
                    <w:t xml:space="preserve">MIMO 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Interference</w:t>
                  </w:r>
                  <w:proofErr w:type="gramEnd"/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 Mitigation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  <w:lang w:val="en-US"/>
                    </w:rPr>
                    <w:t xml:space="preserve">advanced receiver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  <w:lang w:val="en-US"/>
                    </w:rPr>
                    <w:lastRenderedPageBreak/>
                    <w:t xml:space="preserve">capability is not possible </w:t>
                  </w:r>
                </w:p>
              </w:tc>
              <w:tc>
                <w:tcPr>
                  <w:tcW w:w="413" w:type="dxa"/>
                  <w:shd w:val="clear" w:color="auto" w:fill="auto"/>
                  <w:vAlign w:val="center"/>
                </w:tcPr>
                <w:p w14:paraId="7BD7B24C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lastRenderedPageBreak/>
                    <w:t>Type 4</w:t>
                  </w:r>
                </w:p>
              </w:tc>
              <w:tc>
                <w:tcPr>
                  <w:tcW w:w="800" w:type="dxa"/>
                  <w:shd w:val="clear" w:color="auto" w:fill="auto"/>
                  <w:vAlign w:val="center"/>
                </w:tcPr>
                <w:p w14:paraId="1CE00EA3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No need</w:t>
                  </w:r>
                </w:p>
              </w:tc>
              <w:tc>
                <w:tcPr>
                  <w:tcW w:w="800" w:type="dxa"/>
                  <w:shd w:val="clear" w:color="auto" w:fill="auto"/>
                  <w:noWrap/>
                  <w:vAlign w:val="center"/>
                </w:tcPr>
                <w:p w14:paraId="5A9E54F6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No need</w:t>
                  </w:r>
                </w:p>
              </w:tc>
              <w:tc>
                <w:tcPr>
                  <w:tcW w:w="631" w:type="dxa"/>
                  <w:shd w:val="clear" w:color="auto" w:fill="auto"/>
                  <w:vAlign w:val="center"/>
                </w:tcPr>
                <w:p w14:paraId="072E41BB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</w:p>
              </w:tc>
              <w:tc>
                <w:tcPr>
                  <w:tcW w:w="872" w:type="dxa"/>
                  <w:shd w:val="clear" w:color="auto" w:fill="auto"/>
                  <w:vAlign w:val="center"/>
                </w:tcPr>
                <w:p w14:paraId="149C46AD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UE supporting the feature is required to meet the Enhanced Receiver Type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lastRenderedPageBreak/>
                    <w:t>[TBD] requirements in TS 38.101-4</w:t>
                  </w:r>
                </w:p>
              </w:tc>
              <w:tc>
                <w:tcPr>
                  <w:tcW w:w="723" w:type="dxa"/>
                  <w:shd w:val="clear" w:color="auto" w:fill="auto"/>
                  <w:vAlign w:val="center"/>
                </w:tcPr>
                <w:p w14:paraId="4A5026F9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lastRenderedPageBreak/>
                    <w:t>RAN4</w:t>
                  </w:r>
                </w:p>
              </w:tc>
              <w:tc>
                <w:tcPr>
                  <w:tcW w:w="997" w:type="dxa"/>
                  <w:shd w:val="clear" w:color="auto" w:fill="auto"/>
                  <w:vAlign w:val="center"/>
                </w:tcPr>
                <w:p w14:paraId="7FF40D46" w14:textId="77777777" w:rsidR="0003510A" w:rsidRPr="003A0F4C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Optional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 without capability signalling</w:t>
                  </w:r>
                </w:p>
              </w:tc>
            </w:tr>
          </w:tbl>
          <w:p w14:paraId="446A6E15" w14:textId="77777777" w:rsidR="0003510A" w:rsidRDefault="0003510A" w:rsidP="0003510A">
            <w:pPr>
              <w:rPr>
                <w:lang w:eastAsia="zh-CN"/>
              </w:rPr>
            </w:pPr>
          </w:p>
          <w:p w14:paraId="0DB5E071" w14:textId="208D2420" w:rsidR="0003510A" w:rsidRPr="0003510A" w:rsidRDefault="0003510A" w:rsidP="0003510A">
            <w:pPr>
              <w:rPr>
                <w:lang w:eastAsia="zh-CN"/>
              </w:rPr>
            </w:pPr>
            <w:r w:rsidRPr="00960C95">
              <w:rPr>
                <w:rFonts w:hint="eastAsia"/>
                <w:highlight w:val="green"/>
                <w:lang w:eastAsia="zh-CN"/>
              </w:rPr>
              <w:t xml:space="preserve">NTT DOCOMO will capture it in the feature list for RAN4 for the next RAN </w:t>
            </w:r>
            <w:r w:rsidRPr="00960C95">
              <w:rPr>
                <w:highlight w:val="green"/>
                <w:lang w:eastAsia="zh-CN"/>
              </w:rPr>
              <w:t>plenary</w:t>
            </w:r>
            <w:r w:rsidRPr="00960C95">
              <w:rPr>
                <w:rFonts w:hint="eastAsia"/>
                <w:highlight w:val="green"/>
                <w:lang w:eastAsia="zh-CN"/>
              </w:rPr>
              <w:t>.</w:t>
            </w:r>
          </w:p>
        </w:tc>
      </w:tr>
    </w:tbl>
    <w:p w14:paraId="6769E8AD" w14:textId="3E728121" w:rsidR="0003510A" w:rsidRPr="0003510A" w:rsidRDefault="0003510A" w:rsidP="00BB08F1">
      <w:pPr>
        <w:spacing w:after="120"/>
        <w:rPr>
          <w:color w:val="000000" w:themeColor="text1"/>
          <w:lang w:eastAsia="ja-JP"/>
        </w:rPr>
      </w:pPr>
    </w:p>
    <w:p w14:paraId="49D09A37" w14:textId="6EC5DEDE" w:rsidR="0003510A" w:rsidRPr="0003510A" w:rsidRDefault="0003510A" w:rsidP="00BB08F1">
      <w:pPr>
        <w:spacing w:after="120"/>
        <w:rPr>
          <w:color w:val="000000" w:themeColor="text1"/>
          <w:lang w:eastAsia="ja-JP"/>
        </w:rPr>
      </w:pPr>
      <w:r w:rsidRPr="0003510A">
        <w:rPr>
          <w:rFonts w:hint="eastAsia"/>
          <w:color w:val="000000" w:themeColor="text1"/>
          <w:lang w:eastAsia="ja-JP"/>
        </w:rPr>
        <w:t>T</w:t>
      </w:r>
      <w:r w:rsidRPr="0003510A">
        <w:rPr>
          <w:color w:val="000000" w:themeColor="text1"/>
          <w:lang w:eastAsia="ja-JP"/>
        </w:rPr>
        <w:t>he updated RAN4 UE feature list is attached in this contribution.</w:t>
      </w:r>
      <w:r w:rsidR="00594703">
        <w:rPr>
          <w:color w:val="000000" w:themeColor="text1"/>
          <w:lang w:eastAsia="ja-JP"/>
        </w:rPr>
        <w:t xml:space="preserve"> Note that the latest approved </w:t>
      </w:r>
      <w:r w:rsidR="005A34C2">
        <w:rPr>
          <w:color w:val="000000" w:themeColor="text1"/>
          <w:lang w:eastAsia="ja-JP"/>
        </w:rPr>
        <w:t xml:space="preserve">RAN4 </w:t>
      </w:r>
      <w:r w:rsidR="00594703">
        <w:rPr>
          <w:color w:val="000000" w:themeColor="text1"/>
          <w:lang w:eastAsia="ja-JP"/>
        </w:rPr>
        <w:t>UE feature list is [</w:t>
      </w:r>
      <w:r w:rsidR="005A34C2">
        <w:rPr>
          <w:color w:val="000000" w:themeColor="text1"/>
          <w:lang w:eastAsia="ja-JP"/>
        </w:rPr>
        <w:t>2</w:t>
      </w:r>
      <w:r w:rsidR="00594703">
        <w:rPr>
          <w:color w:val="000000" w:themeColor="text1"/>
          <w:lang w:eastAsia="ja-JP"/>
        </w:rPr>
        <w:t>].</w:t>
      </w:r>
    </w:p>
    <w:p w14:paraId="19A57041" w14:textId="77777777" w:rsidR="006C674B" w:rsidRPr="0007405E" w:rsidRDefault="00781288" w:rsidP="006C674B">
      <w:pPr>
        <w:pStyle w:val="1"/>
        <w:rPr>
          <w:lang w:eastAsia="ja-JP"/>
        </w:rPr>
      </w:pPr>
      <w:r w:rsidRPr="0007405E">
        <w:rPr>
          <w:rFonts w:hint="eastAsia"/>
          <w:lang w:eastAsia="ja-JP"/>
        </w:rPr>
        <w:t>3</w:t>
      </w:r>
      <w:r w:rsidR="009C628D" w:rsidRPr="0007405E">
        <w:rPr>
          <w:rFonts w:hint="eastAsia"/>
          <w:lang w:eastAsia="ja-JP"/>
        </w:rPr>
        <w:t xml:space="preserve">. </w:t>
      </w:r>
      <w:r w:rsidR="00770473" w:rsidRPr="0007405E">
        <w:rPr>
          <w:rFonts w:hint="eastAsia"/>
          <w:lang w:eastAsia="ja-JP"/>
        </w:rPr>
        <w:t>Conclusion</w:t>
      </w:r>
    </w:p>
    <w:p w14:paraId="6DEF601F" w14:textId="55231F48" w:rsidR="00121762" w:rsidRDefault="002508C3" w:rsidP="008474E9">
      <w:pPr>
        <w:rPr>
          <w:color w:val="000000" w:themeColor="text1"/>
          <w:lang w:eastAsia="ja-JP"/>
        </w:rPr>
      </w:pPr>
      <w:r w:rsidRPr="002508C3">
        <w:rPr>
          <w:rFonts w:hint="eastAsia"/>
          <w:color w:val="000000" w:themeColor="text1"/>
          <w:lang w:eastAsia="ja-JP"/>
        </w:rPr>
        <w:t>I</w:t>
      </w:r>
      <w:r w:rsidRPr="002508C3">
        <w:rPr>
          <w:color w:val="000000" w:themeColor="text1"/>
          <w:lang w:eastAsia="ja-JP"/>
        </w:rPr>
        <w:t>n this contribution, we discuss the remaining issues on RAN4 related UE features.</w:t>
      </w:r>
    </w:p>
    <w:p w14:paraId="15CE9770" w14:textId="16B8ACEC" w:rsidR="002508C3" w:rsidRPr="00B81124" w:rsidRDefault="002508C3" w:rsidP="002508C3">
      <w:pPr>
        <w:spacing w:after="120"/>
        <w:jc w:val="both"/>
        <w:rPr>
          <w:b/>
          <w:color w:val="000000" w:themeColor="text1"/>
          <w:lang w:val="en-US" w:eastAsia="ja-JP"/>
        </w:rPr>
      </w:pPr>
      <w:r w:rsidRPr="00B81124">
        <w:rPr>
          <w:rFonts w:hint="eastAsia"/>
          <w:b/>
          <w:color w:val="000000" w:themeColor="text1"/>
          <w:lang w:val="en-US" w:eastAsia="ja-JP"/>
        </w:rPr>
        <w:t>P</w:t>
      </w:r>
      <w:r w:rsidRPr="00B81124">
        <w:rPr>
          <w:b/>
          <w:color w:val="000000" w:themeColor="text1"/>
          <w:lang w:val="en-US" w:eastAsia="ja-JP"/>
        </w:rPr>
        <w:t xml:space="preserve">roposal 1: Discuss the following remaining issues on </w:t>
      </w:r>
      <w:r>
        <w:rPr>
          <w:b/>
          <w:color w:val="000000" w:themeColor="text1"/>
          <w:lang w:val="en-US" w:eastAsia="ja-JP"/>
        </w:rPr>
        <w:t xml:space="preserve">RAN4 related UE features in </w:t>
      </w:r>
      <w:r w:rsidRPr="00B81124">
        <w:rPr>
          <w:b/>
          <w:color w:val="000000" w:themeColor="text1"/>
          <w:lang w:val="en-US" w:eastAsia="ja-JP"/>
        </w:rPr>
        <w:t>RAN1 UE feature list.</w:t>
      </w:r>
    </w:p>
    <w:p w14:paraId="31946028" w14:textId="4C180416" w:rsidR="002508C3" w:rsidRPr="00B81124" w:rsidRDefault="002508C3" w:rsidP="002508C3">
      <w:pPr>
        <w:pStyle w:val="afb"/>
        <w:numPr>
          <w:ilvl w:val="1"/>
          <w:numId w:val="45"/>
        </w:numPr>
        <w:spacing w:after="120"/>
        <w:jc w:val="both"/>
        <w:rPr>
          <w:b/>
          <w:color w:val="000000" w:themeColor="text1"/>
          <w:lang w:val="en-US" w:eastAsia="ja-JP"/>
        </w:rPr>
      </w:pPr>
      <w:r w:rsidRPr="00B81124">
        <w:rPr>
          <w:b/>
          <w:color w:val="000000" w:themeColor="text1"/>
          <w:lang w:val="en-US" w:eastAsia="ja-JP"/>
        </w:rPr>
        <w:t xml:space="preserve">2-20, Beam correspondence, </w:t>
      </w:r>
      <w:r>
        <w:rPr>
          <w:b/>
          <w:color w:val="000000" w:themeColor="text1"/>
          <w:lang w:val="en-US" w:eastAsia="ja-JP"/>
        </w:rPr>
        <w:t xml:space="preserve">UE RF requirement for component-1 and </w:t>
      </w:r>
      <w:r w:rsidRPr="00B81124">
        <w:rPr>
          <w:b/>
          <w:color w:val="000000" w:themeColor="text1"/>
          <w:lang w:val="en-US" w:eastAsia="ja-JP"/>
        </w:rPr>
        <w:t>feasibility for component-2, e.g. intra-band or inter-band</w:t>
      </w:r>
      <w:r>
        <w:rPr>
          <w:b/>
          <w:color w:val="000000" w:themeColor="text1"/>
          <w:lang w:val="en-US" w:eastAsia="ja-JP"/>
        </w:rPr>
        <w:t>, as indicated in [</w:t>
      </w:r>
      <w:r w:rsidR="00594703">
        <w:rPr>
          <w:b/>
          <w:color w:val="000000" w:themeColor="text1"/>
          <w:lang w:val="en-US" w:eastAsia="ja-JP"/>
        </w:rPr>
        <w:t>4</w:t>
      </w:r>
      <w:r>
        <w:rPr>
          <w:b/>
          <w:color w:val="000000" w:themeColor="text1"/>
          <w:lang w:val="en-US" w:eastAsia="ja-JP"/>
        </w:rPr>
        <w:t>].</w:t>
      </w:r>
    </w:p>
    <w:p w14:paraId="2439A86A" w14:textId="77777777" w:rsidR="002508C3" w:rsidRPr="00B81124" w:rsidRDefault="002508C3" w:rsidP="002508C3">
      <w:pPr>
        <w:pStyle w:val="afb"/>
        <w:numPr>
          <w:ilvl w:val="1"/>
          <w:numId w:val="45"/>
        </w:numPr>
        <w:spacing w:after="120"/>
        <w:jc w:val="both"/>
        <w:rPr>
          <w:b/>
          <w:color w:val="000000" w:themeColor="text1"/>
          <w:lang w:val="en-US" w:eastAsia="ja-JP"/>
        </w:rPr>
      </w:pPr>
      <w:r w:rsidRPr="00B81124">
        <w:rPr>
          <w:b/>
          <w:color w:val="000000" w:themeColor="text1"/>
          <w:lang w:val="en-US" w:eastAsia="ja-JP"/>
        </w:rPr>
        <w:t>4-1, Basic UL control channel, feasibility of frequency hopping for PUCCH formats for FR2</w:t>
      </w:r>
    </w:p>
    <w:p w14:paraId="52FEA1BB" w14:textId="77777777" w:rsidR="002508C3" w:rsidRPr="00B81124" w:rsidRDefault="002508C3" w:rsidP="002508C3">
      <w:pPr>
        <w:pStyle w:val="afb"/>
        <w:numPr>
          <w:ilvl w:val="1"/>
          <w:numId w:val="45"/>
        </w:numPr>
        <w:spacing w:after="120"/>
        <w:jc w:val="both"/>
        <w:rPr>
          <w:b/>
          <w:color w:val="000000" w:themeColor="text1"/>
          <w:lang w:val="en-US" w:eastAsia="ja-JP"/>
        </w:rPr>
      </w:pPr>
      <w:r w:rsidRPr="00B81124">
        <w:rPr>
          <w:b/>
          <w:color w:val="000000" w:themeColor="text1"/>
          <w:lang w:val="en-US" w:eastAsia="ja-JP"/>
        </w:rPr>
        <w:t>6-1, Basic BWP operation with restriction, signaling type and M/O</w:t>
      </w:r>
    </w:p>
    <w:p w14:paraId="420DEB4A" w14:textId="77777777" w:rsidR="002508C3" w:rsidRDefault="002508C3" w:rsidP="002508C3">
      <w:pPr>
        <w:spacing w:after="120"/>
        <w:rPr>
          <w:b/>
          <w:color w:val="000000" w:themeColor="text1"/>
          <w:lang w:val="en-US" w:eastAsia="ja-JP"/>
        </w:rPr>
      </w:pPr>
      <w:r w:rsidRPr="00971DC8">
        <w:rPr>
          <w:b/>
          <w:color w:val="000000" w:themeColor="text1"/>
          <w:lang w:val="en-US" w:eastAsia="ja-JP"/>
        </w:rPr>
        <w:t xml:space="preserve">Proposal 2: For 4-1, RAN4 </w:t>
      </w:r>
      <w:r>
        <w:rPr>
          <w:b/>
          <w:color w:val="000000" w:themeColor="text1"/>
          <w:lang w:val="en-US" w:eastAsia="ja-JP"/>
        </w:rPr>
        <w:t>clarify whether</w:t>
      </w:r>
      <w:r w:rsidRPr="00971DC8">
        <w:rPr>
          <w:b/>
          <w:color w:val="000000" w:themeColor="text1"/>
          <w:lang w:val="en-US" w:eastAsia="ja-JP"/>
        </w:rPr>
        <w:t xml:space="preserve"> </w:t>
      </w:r>
      <w:r>
        <w:rPr>
          <w:b/>
          <w:color w:val="000000" w:themeColor="text1"/>
          <w:lang w:val="en-US" w:eastAsia="ja-JP"/>
        </w:rPr>
        <w:t xml:space="preserve">enough PUCCH </w:t>
      </w:r>
      <w:r w:rsidRPr="00971DC8">
        <w:rPr>
          <w:b/>
          <w:color w:val="000000" w:themeColor="text1"/>
          <w:lang w:val="en-US" w:eastAsia="ja-JP"/>
        </w:rPr>
        <w:t>demodulation performance could be kept or not especially for PUCCH</w:t>
      </w:r>
      <w:r>
        <w:rPr>
          <w:b/>
          <w:color w:val="000000" w:themeColor="text1"/>
          <w:lang w:val="en-US" w:eastAsia="ja-JP"/>
        </w:rPr>
        <w:t xml:space="preserve"> format 0</w:t>
      </w:r>
      <w:r w:rsidRPr="00971DC8">
        <w:rPr>
          <w:b/>
          <w:color w:val="000000" w:themeColor="text1"/>
          <w:lang w:val="en-US" w:eastAsia="ja-JP"/>
        </w:rPr>
        <w:t xml:space="preserve"> with 2 OFDM symbols</w:t>
      </w:r>
      <w:r>
        <w:rPr>
          <w:b/>
          <w:color w:val="000000" w:themeColor="text1"/>
          <w:lang w:val="en-US" w:eastAsia="ja-JP"/>
        </w:rPr>
        <w:t xml:space="preserve"> and </w:t>
      </w:r>
      <w:r w:rsidRPr="00971DC8">
        <w:rPr>
          <w:b/>
          <w:color w:val="000000" w:themeColor="text1"/>
          <w:lang w:val="en-US" w:eastAsia="ja-JP"/>
        </w:rPr>
        <w:t xml:space="preserve">120kHz SCS </w:t>
      </w:r>
      <w:r>
        <w:rPr>
          <w:b/>
          <w:color w:val="000000" w:themeColor="text1"/>
          <w:lang w:val="en-US" w:eastAsia="ja-JP"/>
        </w:rPr>
        <w:t xml:space="preserve">in FR2 (as a worst case) when intra-slot </w:t>
      </w:r>
      <w:r w:rsidRPr="00971DC8">
        <w:rPr>
          <w:b/>
          <w:color w:val="000000" w:themeColor="text1"/>
          <w:lang w:val="en-US" w:eastAsia="ja-JP"/>
        </w:rPr>
        <w:t>frequency (RB) hopping</w:t>
      </w:r>
      <w:r>
        <w:rPr>
          <w:b/>
          <w:color w:val="000000" w:themeColor="text1"/>
          <w:lang w:val="en-US" w:eastAsia="ja-JP"/>
        </w:rPr>
        <w:t xml:space="preserve"> is enabled</w:t>
      </w:r>
      <w:r w:rsidRPr="00971DC8">
        <w:rPr>
          <w:b/>
          <w:color w:val="000000" w:themeColor="text1"/>
          <w:lang w:val="en-US" w:eastAsia="ja-JP"/>
        </w:rPr>
        <w:t>.</w:t>
      </w:r>
    </w:p>
    <w:p w14:paraId="0339CEF7" w14:textId="7037878B" w:rsidR="002508C3" w:rsidRDefault="002508C3" w:rsidP="008474E9">
      <w:pPr>
        <w:rPr>
          <w:color w:val="000000" w:themeColor="text1"/>
          <w:lang w:val="en-US" w:eastAsia="ja-JP"/>
        </w:rPr>
      </w:pPr>
    </w:p>
    <w:p w14:paraId="1D57D7D5" w14:textId="12EDDD2F" w:rsidR="0003510A" w:rsidRPr="002508C3" w:rsidRDefault="0003510A" w:rsidP="008474E9">
      <w:pPr>
        <w:rPr>
          <w:color w:val="000000" w:themeColor="text1"/>
          <w:lang w:val="en-US" w:eastAsia="ja-JP"/>
        </w:rPr>
      </w:pPr>
      <w:r>
        <w:rPr>
          <w:rFonts w:hint="eastAsia"/>
          <w:color w:val="000000" w:themeColor="text1"/>
          <w:lang w:val="en-US" w:eastAsia="ja-JP"/>
        </w:rPr>
        <w:t>A</w:t>
      </w:r>
      <w:r>
        <w:rPr>
          <w:color w:val="000000" w:themeColor="text1"/>
          <w:lang w:val="en-US" w:eastAsia="ja-JP"/>
        </w:rPr>
        <w:t>lso, updated RAN4 feature list is attached in this contribution.</w:t>
      </w:r>
    </w:p>
    <w:p w14:paraId="2BA5B1AC" w14:textId="77777777" w:rsidR="009D1BE4" w:rsidRPr="0007405E" w:rsidRDefault="009D1BE4" w:rsidP="009D1BE4">
      <w:pPr>
        <w:pStyle w:val="1"/>
        <w:rPr>
          <w:lang w:eastAsia="ja-JP"/>
        </w:rPr>
      </w:pPr>
      <w:r w:rsidRPr="0007405E">
        <w:rPr>
          <w:rFonts w:hint="eastAsia"/>
          <w:lang w:eastAsia="ja-JP"/>
        </w:rPr>
        <w:t>References</w:t>
      </w:r>
    </w:p>
    <w:bookmarkEnd w:id="0"/>
    <w:p w14:paraId="729BB974" w14:textId="22EC7E90" w:rsidR="0067273D" w:rsidRDefault="00BB08F1" w:rsidP="00BB08F1">
      <w:pPr>
        <w:pStyle w:val="afb"/>
        <w:numPr>
          <w:ilvl w:val="0"/>
          <w:numId w:val="46"/>
        </w:numPr>
        <w:rPr>
          <w:lang w:eastAsia="ja-JP"/>
        </w:rPr>
      </w:pPr>
      <w:r w:rsidRPr="00BB08F1">
        <w:rPr>
          <w:lang w:eastAsia="ja-JP"/>
        </w:rPr>
        <w:t>R1-1812064</w:t>
      </w:r>
      <w:r>
        <w:rPr>
          <w:lang w:eastAsia="ja-JP"/>
        </w:rPr>
        <w:t>,</w:t>
      </w:r>
      <w:r w:rsidRPr="00BB08F1">
        <w:rPr>
          <w:lang w:eastAsia="ja-JP"/>
        </w:rPr>
        <w:t xml:space="preserve"> RAN1 NR UE features</w:t>
      </w:r>
      <w:r>
        <w:rPr>
          <w:lang w:eastAsia="ja-JP"/>
        </w:rPr>
        <w:t>, Oct. 2018.</w:t>
      </w:r>
    </w:p>
    <w:p w14:paraId="6FBB0084" w14:textId="1525B49A" w:rsidR="005A34C2" w:rsidRDefault="005A34C2" w:rsidP="005A34C2">
      <w:pPr>
        <w:pStyle w:val="afb"/>
        <w:numPr>
          <w:ilvl w:val="0"/>
          <w:numId w:val="46"/>
        </w:numPr>
        <w:rPr>
          <w:lang w:eastAsia="ja-JP"/>
        </w:rPr>
      </w:pPr>
      <w:r w:rsidRPr="00BA0975">
        <w:rPr>
          <w:lang w:eastAsia="ja-JP"/>
        </w:rPr>
        <w:t>RP-182171</w:t>
      </w:r>
      <w:r>
        <w:rPr>
          <w:lang w:eastAsia="ja-JP"/>
        </w:rPr>
        <w:t xml:space="preserve">, </w:t>
      </w:r>
      <w:r w:rsidRPr="00BA0975">
        <w:rPr>
          <w:lang w:eastAsia="ja-JP"/>
        </w:rPr>
        <w:t>Rel.15 NR UE feature list for RAN4</w:t>
      </w:r>
      <w:r>
        <w:rPr>
          <w:lang w:eastAsia="ja-JP"/>
        </w:rPr>
        <w:t>, Sept. 2018</w:t>
      </w:r>
    </w:p>
    <w:p w14:paraId="0B67AE03" w14:textId="04C0B3B6" w:rsidR="00594703" w:rsidRDefault="00594703" w:rsidP="00594703">
      <w:pPr>
        <w:pStyle w:val="afb"/>
        <w:numPr>
          <w:ilvl w:val="0"/>
          <w:numId w:val="46"/>
        </w:numPr>
        <w:rPr>
          <w:lang w:eastAsia="ja-JP"/>
        </w:rPr>
      </w:pPr>
      <w:r w:rsidRPr="00BA0975">
        <w:rPr>
          <w:lang w:eastAsia="ja-JP"/>
        </w:rPr>
        <w:t>R4-1811530</w:t>
      </w:r>
      <w:r>
        <w:rPr>
          <w:lang w:eastAsia="ja-JP"/>
        </w:rPr>
        <w:t>, WF on UE feature list, Aug. 2018</w:t>
      </w:r>
    </w:p>
    <w:p w14:paraId="2FEB47E8" w14:textId="77777777" w:rsidR="00594703" w:rsidRDefault="00594703" w:rsidP="00594703">
      <w:pPr>
        <w:pStyle w:val="afb"/>
        <w:numPr>
          <w:ilvl w:val="0"/>
          <w:numId w:val="46"/>
        </w:numPr>
        <w:rPr>
          <w:lang w:eastAsia="ja-JP"/>
        </w:rPr>
      </w:pPr>
      <w:r w:rsidRPr="00BB08F1">
        <w:rPr>
          <w:lang w:eastAsia="ja-JP"/>
        </w:rPr>
        <w:t>R4-1814406</w:t>
      </w:r>
      <w:r>
        <w:rPr>
          <w:lang w:eastAsia="ja-JP"/>
        </w:rPr>
        <w:t xml:space="preserve">, </w:t>
      </w:r>
      <w:r w:rsidRPr="00BB08F1">
        <w:rPr>
          <w:lang w:eastAsia="ja-JP"/>
        </w:rPr>
        <w:t>LS on RAN1 NR UE features update</w:t>
      </w:r>
      <w:r>
        <w:rPr>
          <w:lang w:eastAsia="ja-JP"/>
        </w:rPr>
        <w:t>, Oct. 2018.</w:t>
      </w:r>
    </w:p>
    <w:p w14:paraId="763D7CD7" w14:textId="77777777" w:rsidR="00594703" w:rsidRDefault="00594703" w:rsidP="00594703">
      <w:pPr>
        <w:rPr>
          <w:lang w:eastAsia="ja-JP"/>
        </w:rPr>
      </w:pPr>
    </w:p>
    <w:p w14:paraId="03AC729C" w14:textId="77777777" w:rsidR="00BB08F1" w:rsidRPr="00BB08F1" w:rsidRDefault="00BB08F1" w:rsidP="004D7E24">
      <w:pPr>
        <w:rPr>
          <w:lang w:eastAsia="ja-JP"/>
        </w:rPr>
      </w:pPr>
    </w:p>
    <w:sectPr w:rsidR="00BB08F1" w:rsidRPr="00BB08F1" w:rsidSect="0030302A">
      <w:footnotePr>
        <w:pos w:val="beneathText"/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340A2" w14:textId="77777777" w:rsidR="00E90F23" w:rsidRDefault="00E90F23">
      <w:r>
        <w:separator/>
      </w:r>
    </w:p>
  </w:endnote>
  <w:endnote w:type="continuationSeparator" w:id="0">
    <w:p w14:paraId="297D7E8E" w14:textId="77777777" w:rsidR="00E90F23" w:rsidRDefault="00E9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0F387" w14:textId="77777777" w:rsidR="00E90F23" w:rsidRDefault="00E90F23">
      <w:r>
        <w:separator/>
      </w:r>
    </w:p>
  </w:footnote>
  <w:footnote w:type="continuationSeparator" w:id="0">
    <w:p w14:paraId="2EBDCE5A" w14:textId="77777777" w:rsidR="00E90F23" w:rsidRDefault="00E90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9" type="#_x0000_t75" style="width:36pt;height:20.95pt" o:bullet="t">
        <v:imagedata r:id="rId1" o:title="art1A8B"/>
      </v:shape>
    </w:pict>
  </w:numPicBullet>
  <w:abstractNum w:abstractNumId="0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4119AC"/>
    <w:multiLevelType w:val="hybridMultilevel"/>
    <w:tmpl w:val="1854A7D6"/>
    <w:lvl w:ilvl="0" w:tplc="3742494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7106473"/>
    <w:multiLevelType w:val="hybridMultilevel"/>
    <w:tmpl w:val="AEB0487E"/>
    <w:lvl w:ilvl="0" w:tplc="03D09C98">
      <w:numFmt w:val="bullet"/>
      <w:lvlText w:val="•"/>
      <w:lvlJc w:val="left"/>
      <w:pPr>
        <w:ind w:left="64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6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E1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2E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946BEF"/>
    <w:multiLevelType w:val="hybridMultilevel"/>
    <w:tmpl w:val="DBD4ED04"/>
    <w:lvl w:ilvl="0" w:tplc="03D09C98">
      <w:numFmt w:val="bullet"/>
      <w:lvlText w:val="•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97F1A"/>
    <w:multiLevelType w:val="hybridMultilevel"/>
    <w:tmpl w:val="C3180674"/>
    <w:lvl w:ilvl="0" w:tplc="8FF4E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E6289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B4E1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2E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6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CC47D6"/>
    <w:multiLevelType w:val="hybridMultilevel"/>
    <w:tmpl w:val="80024148"/>
    <w:lvl w:ilvl="0" w:tplc="03D09C98">
      <w:numFmt w:val="bullet"/>
      <w:lvlText w:val="•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BC2A08E2">
      <w:numFmt w:val="bullet"/>
      <w:lvlText w:val=""/>
      <w:lvlJc w:val="left"/>
      <w:pPr>
        <w:ind w:left="780" w:hanging="360"/>
      </w:pPr>
      <w:rPr>
        <w:rFonts w:ascii="Wingdings" w:eastAsia="ＭＳ 明朝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2D4B7C"/>
    <w:multiLevelType w:val="hybridMultilevel"/>
    <w:tmpl w:val="51A6E894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67629D"/>
    <w:multiLevelType w:val="hybridMultilevel"/>
    <w:tmpl w:val="DF100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55241B85"/>
    <w:multiLevelType w:val="hybridMultilevel"/>
    <w:tmpl w:val="0C3CBFF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243FBF"/>
    <w:multiLevelType w:val="hybridMultilevel"/>
    <w:tmpl w:val="7254A1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B1003A9"/>
    <w:multiLevelType w:val="hybridMultilevel"/>
    <w:tmpl w:val="26F6FB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9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41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4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7"/>
  </w:num>
  <w:num w:numId="3">
    <w:abstractNumId w:val="29"/>
  </w:num>
  <w:num w:numId="4">
    <w:abstractNumId w:val="2"/>
  </w:num>
  <w:num w:numId="5">
    <w:abstractNumId w:val="38"/>
  </w:num>
  <w:num w:numId="6">
    <w:abstractNumId w:val="34"/>
  </w:num>
  <w:num w:numId="7">
    <w:abstractNumId w:val="24"/>
  </w:num>
  <w:num w:numId="8">
    <w:abstractNumId w:val="35"/>
  </w:num>
  <w:num w:numId="9">
    <w:abstractNumId w:val="33"/>
  </w:num>
  <w:num w:numId="10">
    <w:abstractNumId w:val="14"/>
  </w:num>
  <w:num w:numId="11">
    <w:abstractNumId w:val="43"/>
  </w:num>
  <w:num w:numId="12">
    <w:abstractNumId w:val="22"/>
  </w:num>
  <w:num w:numId="13">
    <w:abstractNumId w:val="23"/>
  </w:num>
  <w:num w:numId="14">
    <w:abstractNumId w:val="31"/>
  </w:num>
  <w:num w:numId="15">
    <w:abstractNumId w:val="0"/>
  </w:num>
  <w:num w:numId="16">
    <w:abstractNumId w:val="15"/>
  </w:num>
  <w:num w:numId="17">
    <w:abstractNumId w:val="21"/>
  </w:num>
  <w:num w:numId="18">
    <w:abstractNumId w:val="11"/>
  </w:num>
  <w:num w:numId="19">
    <w:abstractNumId w:val="32"/>
  </w:num>
  <w:num w:numId="20">
    <w:abstractNumId w:val="40"/>
  </w:num>
  <w:num w:numId="21">
    <w:abstractNumId w:val="8"/>
  </w:num>
  <w:num w:numId="22">
    <w:abstractNumId w:val="25"/>
  </w:num>
  <w:num w:numId="23">
    <w:abstractNumId w:val="28"/>
  </w:num>
  <w:num w:numId="24">
    <w:abstractNumId w:val="12"/>
  </w:num>
  <w:num w:numId="25">
    <w:abstractNumId w:val="41"/>
  </w:num>
  <w:num w:numId="26">
    <w:abstractNumId w:val="42"/>
  </w:num>
  <w:num w:numId="27">
    <w:abstractNumId w:val="9"/>
  </w:num>
  <w:num w:numId="28">
    <w:abstractNumId w:val="39"/>
  </w:num>
  <w:num w:numId="29">
    <w:abstractNumId w:val="19"/>
  </w:num>
  <w:num w:numId="30">
    <w:abstractNumId w:val="17"/>
  </w:num>
  <w:num w:numId="31">
    <w:abstractNumId w:val="10"/>
  </w:num>
  <w:num w:numId="32">
    <w:abstractNumId w:val="16"/>
  </w:num>
  <w:num w:numId="33">
    <w:abstractNumId w:val="4"/>
  </w:num>
  <w:num w:numId="34">
    <w:abstractNumId w:val="42"/>
  </w:num>
  <w:num w:numId="35">
    <w:abstractNumId w:val="6"/>
  </w:num>
  <w:num w:numId="36">
    <w:abstractNumId w:val="36"/>
  </w:num>
  <w:num w:numId="37">
    <w:abstractNumId w:val="13"/>
  </w:num>
  <w:num w:numId="38">
    <w:abstractNumId w:val="26"/>
  </w:num>
  <w:num w:numId="39">
    <w:abstractNumId w:val="18"/>
  </w:num>
  <w:num w:numId="40">
    <w:abstractNumId w:val="5"/>
  </w:num>
  <w:num w:numId="41">
    <w:abstractNumId w:val="37"/>
  </w:num>
  <w:num w:numId="42">
    <w:abstractNumId w:val="7"/>
  </w:num>
  <w:num w:numId="43">
    <w:abstractNumId w:val="3"/>
  </w:num>
  <w:num w:numId="44">
    <w:abstractNumId w:val="44"/>
  </w:num>
  <w:num w:numId="45">
    <w:abstractNumId w:val="30"/>
  </w:num>
  <w:num w:numId="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0EB2"/>
    <w:rsid w:val="000128F2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3255F"/>
    <w:rsid w:val="0003510A"/>
    <w:rsid w:val="000419BA"/>
    <w:rsid w:val="000428F9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7322"/>
    <w:rsid w:val="000911E4"/>
    <w:rsid w:val="00093E7E"/>
    <w:rsid w:val="00095795"/>
    <w:rsid w:val="00097D22"/>
    <w:rsid w:val="000A2C7E"/>
    <w:rsid w:val="000A2D0B"/>
    <w:rsid w:val="000A45AC"/>
    <w:rsid w:val="000A6235"/>
    <w:rsid w:val="000A65BC"/>
    <w:rsid w:val="000A7F9C"/>
    <w:rsid w:val="000B0E72"/>
    <w:rsid w:val="000B1E36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1762"/>
    <w:rsid w:val="00123571"/>
    <w:rsid w:val="00123B5C"/>
    <w:rsid w:val="00124082"/>
    <w:rsid w:val="00124E2D"/>
    <w:rsid w:val="001301B1"/>
    <w:rsid w:val="00130E89"/>
    <w:rsid w:val="0013238D"/>
    <w:rsid w:val="00132D36"/>
    <w:rsid w:val="0013490F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A08AA"/>
    <w:rsid w:val="001A3120"/>
    <w:rsid w:val="001A3891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41C1B"/>
    <w:rsid w:val="00245B6B"/>
    <w:rsid w:val="0025035E"/>
    <w:rsid w:val="002508C3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6A1C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302A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3DD0"/>
    <w:rsid w:val="003C47C5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30C4"/>
    <w:rsid w:val="003F31D8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9156D"/>
    <w:rsid w:val="00497809"/>
    <w:rsid w:val="004A0D35"/>
    <w:rsid w:val="004A17C7"/>
    <w:rsid w:val="004A41BD"/>
    <w:rsid w:val="004A782C"/>
    <w:rsid w:val="004A7ADF"/>
    <w:rsid w:val="004B1EF8"/>
    <w:rsid w:val="004B3EC1"/>
    <w:rsid w:val="004B5CEC"/>
    <w:rsid w:val="004B693D"/>
    <w:rsid w:val="004B7715"/>
    <w:rsid w:val="004B7C86"/>
    <w:rsid w:val="004C2CF2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5026"/>
    <w:rsid w:val="00505BFA"/>
    <w:rsid w:val="005060C0"/>
    <w:rsid w:val="00515234"/>
    <w:rsid w:val="00517307"/>
    <w:rsid w:val="00521AAC"/>
    <w:rsid w:val="00521B8C"/>
    <w:rsid w:val="00524CA9"/>
    <w:rsid w:val="00526B6F"/>
    <w:rsid w:val="0053142A"/>
    <w:rsid w:val="005347FC"/>
    <w:rsid w:val="00535758"/>
    <w:rsid w:val="00540A87"/>
    <w:rsid w:val="0054117A"/>
    <w:rsid w:val="00544702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669"/>
    <w:rsid w:val="005927CF"/>
    <w:rsid w:val="00592DE5"/>
    <w:rsid w:val="005939A4"/>
    <w:rsid w:val="00594703"/>
    <w:rsid w:val="00597DA3"/>
    <w:rsid w:val="005A1864"/>
    <w:rsid w:val="005A1B40"/>
    <w:rsid w:val="005A34C2"/>
    <w:rsid w:val="005A56BE"/>
    <w:rsid w:val="005A7306"/>
    <w:rsid w:val="005A7381"/>
    <w:rsid w:val="005A772A"/>
    <w:rsid w:val="005B207E"/>
    <w:rsid w:val="005B41E8"/>
    <w:rsid w:val="005B653A"/>
    <w:rsid w:val="005B7115"/>
    <w:rsid w:val="005C6516"/>
    <w:rsid w:val="005C667E"/>
    <w:rsid w:val="005C7544"/>
    <w:rsid w:val="005D1F5B"/>
    <w:rsid w:val="005D2248"/>
    <w:rsid w:val="005D3F3A"/>
    <w:rsid w:val="005D47A1"/>
    <w:rsid w:val="005D4B05"/>
    <w:rsid w:val="005D568E"/>
    <w:rsid w:val="005D606F"/>
    <w:rsid w:val="005D6CCE"/>
    <w:rsid w:val="005D6D26"/>
    <w:rsid w:val="005D761F"/>
    <w:rsid w:val="005F4A7E"/>
    <w:rsid w:val="00600AD8"/>
    <w:rsid w:val="00603C1C"/>
    <w:rsid w:val="00603CB8"/>
    <w:rsid w:val="006106F2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80165"/>
    <w:rsid w:val="0068235D"/>
    <w:rsid w:val="00685642"/>
    <w:rsid w:val="006856E5"/>
    <w:rsid w:val="00685767"/>
    <w:rsid w:val="00685A73"/>
    <w:rsid w:val="00686ABB"/>
    <w:rsid w:val="00686FBC"/>
    <w:rsid w:val="0069720F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42B9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683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3587"/>
    <w:rsid w:val="0083389F"/>
    <w:rsid w:val="00835C3C"/>
    <w:rsid w:val="00836C44"/>
    <w:rsid w:val="00842B4F"/>
    <w:rsid w:val="008474E9"/>
    <w:rsid w:val="008510F1"/>
    <w:rsid w:val="00853D81"/>
    <w:rsid w:val="008556A6"/>
    <w:rsid w:val="00861537"/>
    <w:rsid w:val="008627A1"/>
    <w:rsid w:val="00863EBB"/>
    <w:rsid w:val="00866314"/>
    <w:rsid w:val="008671F5"/>
    <w:rsid w:val="00867C49"/>
    <w:rsid w:val="00871645"/>
    <w:rsid w:val="00872512"/>
    <w:rsid w:val="00874FE0"/>
    <w:rsid w:val="00875CB4"/>
    <w:rsid w:val="008764E7"/>
    <w:rsid w:val="00884014"/>
    <w:rsid w:val="008854B3"/>
    <w:rsid w:val="00885543"/>
    <w:rsid w:val="00885DDB"/>
    <w:rsid w:val="008916C1"/>
    <w:rsid w:val="008921D3"/>
    <w:rsid w:val="00893454"/>
    <w:rsid w:val="008A0249"/>
    <w:rsid w:val="008A24BF"/>
    <w:rsid w:val="008A4BA1"/>
    <w:rsid w:val="008A69FE"/>
    <w:rsid w:val="008A7DC1"/>
    <w:rsid w:val="008B0743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07889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0436"/>
    <w:rsid w:val="0095748C"/>
    <w:rsid w:val="0096268B"/>
    <w:rsid w:val="00965EC6"/>
    <w:rsid w:val="00966889"/>
    <w:rsid w:val="00971DC8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126D8"/>
    <w:rsid w:val="00A13DB4"/>
    <w:rsid w:val="00A17573"/>
    <w:rsid w:val="00A33FD3"/>
    <w:rsid w:val="00A34818"/>
    <w:rsid w:val="00A34F88"/>
    <w:rsid w:val="00A35A6B"/>
    <w:rsid w:val="00A50244"/>
    <w:rsid w:val="00A50E31"/>
    <w:rsid w:val="00A53DA9"/>
    <w:rsid w:val="00A55F4E"/>
    <w:rsid w:val="00A57448"/>
    <w:rsid w:val="00A57ACE"/>
    <w:rsid w:val="00A6010C"/>
    <w:rsid w:val="00A6130C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656B"/>
    <w:rsid w:val="00AA0F2D"/>
    <w:rsid w:val="00AA24C1"/>
    <w:rsid w:val="00AA4CA6"/>
    <w:rsid w:val="00AA4DD5"/>
    <w:rsid w:val="00AA5DEE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8F2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2DFD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124"/>
    <w:rsid w:val="00B8446C"/>
    <w:rsid w:val="00B84970"/>
    <w:rsid w:val="00B87ECE"/>
    <w:rsid w:val="00B925DD"/>
    <w:rsid w:val="00B92FAA"/>
    <w:rsid w:val="00B95A46"/>
    <w:rsid w:val="00BA0975"/>
    <w:rsid w:val="00BA1D66"/>
    <w:rsid w:val="00BB087F"/>
    <w:rsid w:val="00BB08F1"/>
    <w:rsid w:val="00BB18A7"/>
    <w:rsid w:val="00BB317F"/>
    <w:rsid w:val="00BB3C3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5614"/>
    <w:rsid w:val="00BE7095"/>
    <w:rsid w:val="00BE78BD"/>
    <w:rsid w:val="00BF03BB"/>
    <w:rsid w:val="00BF28CB"/>
    <w:rsid w:val="00BF35CC"/>
    <w:rsid w:val="00BF7F29"/>
    <w:rsid w:val="00BF7F3A"/>
    <w:rsid w:val="00C00249"/>
    <w:rsid w:val="00C005B3"/>
    <w:rsid w:val="00C03792"/>
    <w:rsid w:val="00C04118"/>
    <w:rsid w:val="00C0547C"/>
    <w:rsid w:val="00C07A28"/>
    <w:rsid w:val="00C137BE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4A11"/>
    <w:rsid w:val="00C46038"/>
    <w:rsid w:val="00C50891"/>
    <w:rsid w:val="00C51ECB"/>
    <w:rsid w:val="00C52C7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223F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2644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059C"/>
    <w:rsid w:val="00DA518A"/>
    <w:rsid w:val="00DA706D"/>
    <w:rsid w:val="00DA7765"/>
    <w:rsid w:val="00DB0073"/>
    <w:rsid w:val="00DB0BA5"/>
    <w:rsid w:val="00DB49BA"/>
    <w:rsid w:val="00DC39A9"/>
    <w:rsid w:val="00DC53E7"/>
    <w:rsid w:val="00DC756C"/>
    <w:rsid w:val="00DD0C2C"/>
    <w:rsid w:val="00DD576B"/>
    <w:rsid w:val="00DE22B1"/>
    <w:rsid w:val="00DE283D"/>
    <w:rsid w:val="00DE60C1"/>
    <w:rsid w:val="00DE67FC"/>
    <w:rsid w:val="00DF0815"/>
    <w:rsid w:val="00DF30DF"/>
    <w:rsid w:val="00DF4ECA"/>
    <w:rsid w:val="00DF527C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F05"/>
    <w:rsid w:val="00E6554F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90F23"/>
    <w:rsid w:val="00EA07CA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0010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05C1"/>
    <w:rsid w:val="00F55467"/>
    <w:rsid w:val="00F56DD6"/>
    <w:rsid w:val="00F63A09"/>
    <w:rsid w:val="00F640C8"/>
    <w:rsid w:val="00F64B74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D:/Docs/R4-17121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11</Pages>
  <Words>1821</Words>
  <Characters>10381</Characters>
  <Application>Microsoft Office Word</Application>
  <DocSecurity>0</DocSecurity>
  <Lines>86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12178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佐野 洋介</cp:lastModifiedBy>
  <cp:revision>12</cp:revision>
  <cp:lastPrinted>2017-04-28T05:57:00Z</cp:lastPrinted>
  <dcterms:created xsi:type="dcterms:W3CDTF">2018-11-02T17:48:00Z</dcterms:created>
  <dcterms:modified xsi:type="dcterms:W3CDTF">2018-11-02T20:19:00Z</dcterms:modified>
</cp:coreProperties>
</file>